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7.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B551E" w:rsidR="00251BA2" w:rsidP="00F74934" w:rsidRDefault="00225AB8" w14:paraId="12A4A467" w14:textId="696771DC">
      <w:pPr>
        <w:pStyle w:val="Texto0"/>
        <w:spacing w:before="0" w:after="0" w:line="240" w:lineRule="auto"/>
        <w:contextualSpacing/>
        <w:jc w:val="center"/>
        <w:rPr>
          <w:rFonts w:asciiTheme="majorHAnsi" w:hAnsiTheme="majorHAnsi"/>
          <w:sz w:val="24"/>
        </w:rPr>
      </w:pPr>
      <w:r w:rsidRPr="005B551E">
        <w:rPr>
          <w:rFonts w:asciiTheme="majorHAnsi" w:hAnsiTheme="majorHAnsi"/>
          <w:b/>
          <w:sz w:val="24"/>
        </w:rPr>
        <w:t>Circular Externa</w:t>
      </w:r>
    </w:p>
    <w:p w:rsidRPr="005B551E" w:rsidR="00251BA2" w:rsidP="00F74934" w:rsidRDefault="00AA4ABF" w14:paraId="5143B2FF" w14:textId="10D21713">
      <w:pPr>
        <w:pStyle w:val="Texto0"/>
        <w:spacing w:before="0" w:after="0" w:line="240" w:lineRule="auto"/>
        <w:contextualSpacing/>
        <w:jc w:val="center"/>
        <w:rPr>
          <w:rFonts w:asciiTheme="majorHAnsi" w:hAnsiTheme="majorHAnsi"/>
          <w:sz w:val="24"/>
        </w:rPr>
      </w:pPr>
      <w:r w:rsidRPr="005B551E">
        <w:rPr>
          <w:rFonts w:asciiTheme="majorHAnsi" w:hAnsiTheme="majorHAnsi"/>
          <w:sz w:val="24"/>
        </w:rPr>
        <w:t>1</w:t>
      </w:r>
      <w:r w:rsidR="00A36223">
        <w:rPr>
          <w:rFonts w:asciiTheme="majorHAnsi" w:hAnsiTheme="majorHAnsi"/>
          <w:sz w:val="24"/>
        </w:rPr>
        <w:t>9</w:t>
      </w:r>
      <w:r w:rsidRPr="005B551E" w:rsidR="00251BA2">
        <w:rPr>
          <w:rFonts w:asciiTheme="majorHAnsi" w:hAnsiTheme="majorHAnsi"/>
          <w:sz w:val="24"/>
        </w:rPr>
        <w:t xml:space="preserve"> de </w:t>
      </w:r>
      <w:r w:rsidRPr="005B551E">
        <w:rPr>
          <w:rFonts w:asciiTheme="majorHAnsi" w:hAnsiTheme="majorHAnsi"/>
          <w:sz w:val="24"/>
        </w:rPr>
        <w:t xml:space="preserve">agosto </w:t>
      </w:r>
      <w:r w:rsidRPr="005B551E" w:rsidR="00251BA2">
        <w:rPr>
          <w:rFonts w:asciiTheme="majorHAnsi" w:hAnsiTheme="majorHAnsi"/>
          <w:sz w:val="24"/>
        </w:rPr>
        <w:t>del 20</w:t>
      </w:r>
      <w:r w:rsidRPr="005B551E" w:rsidR="00212B7C">
        <w:rPr>
          <w:rFonts w:asciiTheme="majorHAnsi" w:hAnsiTheme="majorHAnsi"/>
          <w:sz w:val="24"/>
        </w:rPr>
        <w:t>2</w:t>
      </w:r>
      <w:r w:rsidRPr="005B551E">
        <w:rPr>
          <w:rFonts w:asciiTheme="majorHAnsi" w:hAnsiTheme="majorHAnsi"/>
          <w:sz w:val="24"/>
        </w:rPr>
        <w:t>1</w:t>
      </w:r>
    </w:p>
    <w:sdt>
      <w:sdtPr>
        <w:rPr>
          <w:rFonts w:asciiTheme="majorHAnsi" w:hAnsiTheme="majorHAnsi"/>
          <w:sz w:val="24"/>
        </w:rPr>
        <w:alias w:val="Consecutivo"/>
        <w:tag w:val="Consecutivo"/>
        <w:id w:val="2052717023"/>
        <w:placeholder>
          <w:docPart w:val="C7EA259747C3476A918838FE91963471"/>
        </w:placeholder>
        <w:text/>
      </w:sdtPr>
      <w:sdtEndPr/>
      <w:sdtContent>
        <w:p w:rsidRPr="005B551E" w:rsidR="00251BA2" w:rsidP="00F74934" w:rsidRDefault="00C928C7" w14:paraId="2D36C797" w14:textId="77777777">
          <w:pPr>
            <w:tabs>
              <w:tab w:val="left" w:pos="2843"/>
            </w:tabs>
            <w:spacing w:line="240" w:lineRule="auto"/>
            <w:contextualSpacing/>
            <w:jc w:val="center"/>
            <w:rPr>
              <w:rFonts w:asciiTheme="majorHAnsi" w:hAnsiTheme="majorHAnsi"/>
              <w:sz w:val="24"/>
            </w:rPr>
          </w:pPr>
          <w:r>
            <w:t>SGF-2368-2021</w:t>
          </w:r>
        </w:p>
      </w:sdtContent>
    </w:sdt>
    <w:p w:rsidRPr="005B551E" w:rsidR="00251BA2" w:rsidP="00F74934" w:rsidRDefault="00251BA2" w14:paraId="2993B55D" w14:textId="7AD92D58">
      <w:pPr>
        <w:tabs>
          <w:tab w:val="left" w:pos="2843"/>
        </w:tabs>
        <w:spacing w:line="240" w:lineRule="auto"/>
        <w:contextualSpacing/>
        <w:jc w:val="center"/>
        <w:rPr>
          <w:rFonts w:asciiTheme="majorHAnsi" w:hAnsiTheme="majorHAnsi"/>
          <w:sz w:val="24"/>
        </w:rPr>
      </w:pPr>
      <w:r w:rsidRPr="005B551E">
        <w:rPr>
          <w:rFonts w:asciiTheme="majorHAnsi" w:hAnsiTheme="majorHAnsi"/>
          <w:sz w:val="24"/>
        </w:rPr>
        <w:t xml:space="preserve"> </w:t>
      </w:r>
      <w:sdt>
        <w:sdtPr>
          <w:rPr>
            <w:rFonts w:asciiTheme="majorHAnsi" w:hAnsiTheme="majorHAnsi"/>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B551E" w:rsidR="00AA4ABF">
            <w:rPr>
              <w:rFonts w:asciiTheme="majorHAnsi" w:hAnsiTheme="majorHAnsi"/>
              <w:sz w:val="24"/>
            </w:rPr>
            <w:t>SGF-PUBLICO</w:t>
          </w:r>
        </w:sdtContent>
      </w:sdt>
    </w:p>
    <w:p w:rsidRPr="005B551E" w:rsidR="009A6C47" w:rsidP="00F74934" w:rsidRDefault="009A6C47" w14:paraId="13EAB02C" w14:textId="2763967E">
      <w:pPr>
        <w:widowControl w:val="0"/>
        <w:spacing w:line="240" w:lineRule="auto"/>
        <w:ind w:left="34" w:right="86"/>
        <w:contextualSpacing/>
        <w:outlineLvl w:val="0"/>
        <w:rPr>
          <w:rFonts w:asciiTheme="majorHAnsi" w:hAnsiTheme="majorHAnsi"/>
          <w:b/>
          <w:sz w:val="24"/>
          <w:lang w:val="es-CR"/>
        </w:rPr>
      </w:pPr>
    </w:p>
    <w:p w:rsidRPr="005B551E" w:rsidR="00AA4ABF" w:rsidP="00F74934" w:rsidRDefault="00AA4ABF" w14:paraId="329119FE" w14:textId="77777777">
      <w:pPr>
        <w:widowControl w:val="0"/>
        <w:spacing w:line="240" w:lineRule="auto"/>
        <w:ind w:left="34" w:right="86"/>
        <w:contextualSpacing/>
        <w:outlineLvl w:val="0"/>
        <w:rPr>
          <w:rFonts w:asciiTheme="majorHAnsi" w:hAnsiTheme="majorHAnsi"/>
          <w:b/>
          <w:sz w:val="24"/>
          <w:lang w:val="es-CR"/>
        </w:rPr>
      </w:pPr>
    </w:p>
    <w:p w:rsidRPr="005B551E" w:rsidR="00251BA2" w:rsidP="00F74934" w:rsidRDefault="00251BA2" w14:paraId="25A70378" w14:textId="77777777">
      <w:pPr>
        <w:widowControl w:val="0"/>
        <w:spacing w:line="240" w:lineRule="auto"/>
        <w:ind w:left="34" w:right="86"/>
        <w:contextualSpacing/>
        <w:outlineLvl w:val="0"/>
        <w:rPr>
          <w:rFonts w:asciiTheme="majorHAnsi" w:hAnsiTheme="majorHAnsi"/>
          <w:b/>
          <w:sz w:val="24"/>
          <w:lang w:val="es-CR"/>
        </w:rPr>
      </w:pPr>
      <w:r w:rsidRPr="005B551E">
        <w:rPr>
          <w:rFonts w:asciiTheme="majorHAnsi" w:hAnsiTheme="majorHAnsi"/>
          <w:b/>
          <w:sz w:val="24"/>
          <w:lang w:val="es-CR"/>
        </w:rPr>
        <w:t xml:space="preserve">Dirigida a: </w:t>
      </w:r>
    </w:p>
    <w:p w:rsidRPr="005B551E" w:rsidR="00251BA2" w:rsidP="00F74934" w:rsidRDefault="00251BA2" w14:paraId="133CDBE0" w14:textId="77777777">
      <w:pPr>
        <w:widowControl w:val="0"/>
        <w:spacing w:line="240" w:lineRule="auto"/>
        <w:ind w:left="34" w:right="86"/>
        <w:contextualSpacing/>
        <w:outlineLvl w:val="0"/>
        <w:rPr>
          <w:rFonts w:asciiTheme="majorHAnsi" w:hAnsiTheme="majorHAnsi"/>
          <w:b/>
          <w:sz w:val="24"/>
          <w:lang w:val="es-CR"/>
        </w:rPr>
      </w:pPr>
    </w:p>
    <w:p w:rsidRPr="005B551E" w:rsidR="00251BA2" w:rsidP="00F74934" w:rsidRDefault="00251BA2" w14:paraId="20CBEC9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Bancos Comerciales del Estado</w:t>
      </w:r>
    </w:p>
    <w:p w:rsidRPr="005B551E" w:rsidR="00251BA2" w:rsidP="00F74934" w:rsidRDefault="00251BA2" w14:paraId="4A3FB930"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Bancos Creados por Leyes Especiales</w:t>
      </w:r>
    </w:p>
    <w:p w:rsidRPr="005B551E" w:rsidR="00251BA2" w:rsidP="00F74934" w:rsidRDefault="00251BA2" w14:paraId="09B054F6"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Bancos Privados</w:t>
      </w:r>
    </w:p>
    <w:p w:rsidRPr="005B551E" w:rsidR="00251BA2" w:rsidP="00F74934" w:rsidRDefault="00251BA2" w14:paraId="4CB811C5"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Empresas Financieras no Bancarias</w:t>
      </w:r>
    </w:p>
    <w:p w:rsidRPr="005B551E" w:rsidR="00251BA2" w:rsidP="00F74934" w:rsidRDefault="00251BA2" w14:paraId="4C8E9971"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Otras Entidades Financieras</w:t>
      </w:r>
    </w:p>
    <w:p w:rsidRPr="005B551E" w:rsidR="00251BA2" w:rsidP="00F74934" w:rsidRDefault="00251BA2" w14:paraId="15A16CF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Organizaciones Cooperativas de Ahorro y Crédito</w:t>
      </w:r>
    </w:p>
    <w:p w:rsidRPr="005B551E" w:rsidR="00251BA2" w:rsidP="00F74934" w:rsidRDefault="00251BA2" w14:paraId="6CDD8B81" w14:textId="29EA18C4">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Entidades Autorizadas del Sistema Financiera Nacional para la Vivienda</w:t>
      </w:r>
      <w:r w:rsidRPr="005B551E" w:rsidR="002410C8">
        <w:rPr>
          <w:rFonts w:asciiTheme="majorHAnsi" w:hAnsiTheme="majorHAnsi"/>
          <w:b/>
          <w:sz w:val="24"/>
          <w:lang w:val="es-CR" w:eastAsia="es-ES"/>
        </w:rPr>
        <w:t>.</w:t>
      </w:r>
    </w:p>
    <w:p w:rsidRPr="005B551E" w:rsidR="002410C8" w:rsidP="00F74934" w:rsidRDefault="002410C8" w14:paraId="14C4DFA9" w14:textId="1F975E20">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5B551E">
        <w:rPr>
          <w:rFonts w:asciiTheme="majorHAnsi" w:hAnsiTheme="majorHAnsi"/>
          <w:b/>
          <w:sz w:val="24"/>
          <w:lang w:val="es-CR" w:eastAsia="es-ES"/>
        </w:rPr>
        <w:t>Ministerio de Hacienda</w:t>
      </w:r>
    </w:p>
    <w:p w:rsidRPr="005B551E" w:rsidR="005B160F" w:rsidP="00F74934" w:rsidRDefault="005B160F" w14:paraId="3EC3D517" w14:textId="77777777">
      <w:pPr>
        <w:pStyle w:val="Texto0"/>
        <w:spacing w:line="240" w:lineRule="auto"/>
        <w:contextualSpacing/>
        <w:rPr>
          <w:rFonts w:asciiTheme="majorHAnsi" w:hAnsiTheme="majorHAnsi"/>
          <w:b/>
          <w:sz w:val="24"/>
        </w:rPr>
      </w:pPr>
    </w:p>
    <w:p w:rsidRPr="005B551E" w:rsidR="00B51077" w:rsidP="00F74934" w:rsidRDefault="00B51077" w14:paraId="28C0BE04" w14:textId="62D191E8">
      <w:pPr>
        <w:pStyle w:val="Texto0"/>
        <w:spacing w:line="240" w:lineRule="auto"/>
        <w:contextualSpacing/>
        <w:rPr>
          <w:rFonts w:asciiTheme="majorHAnsi" w:hAnsiTheme="majorHAnsi"/>
          <w:iCs/>
          <w:sz w:val="24"/>
        </w:rPr>
      </w:pPr>
      <w:r w:rsidRPr="005B551E">
        <w:rPr>
          <w:rFonts w:asciiTheme="majorHAnsi" w:hAnsiTheme="majorHAnsi"/>
          <w:b/>
          <w:sz w:val="24"/>
        </w:rPr>
        <w:t xml:space="preserve">Asunto: </w:t>
      </w:r>
      <w:r w:rsidRPr="005B551E" w:rsidR="00AA4ABF">
        <w:rPr>
          <w:rFonts w:asciiTheme="majorHAnsi" w:hAnsiTheme="majorHAnsi"/>
          <w:bCs/>
          <w:sz w:val="24"/>
        </w:rPr>
        <w:t>Segundo e</w:t>
      </w:r>
      <w:r w:rsidRPr="005B551E" w:rsidR="00225AB8">
        <w:rPr>
          <w:rFonts w:asciiTheme="majorHAnsi" w:hAnsiTheme="majorHAnsi"/>
          <w:bCs/>
          <w:sz w:val="24"/>
        </w:rPr>
        <w:t>nvío en consulta de</w:t>
      </w:r>
      <w:r w:rsidRPr="005B551E" w:rsidR="00FF752D">
        <w:rPr>
          <w:rFonts w:asciiTheme="majorHAnsi" w:hAnsiTheme="majorHAnsi"/>
          <w:bCs/>
          <w:sz w:val="24"/>
        </w:rPr>
        <w:t xml:space="preserve"> los </w:t>
      </w:r>
      <w:r w:rsidRPr="005B551E" w:rsidR="00FF752D">
        <w:rPr>
          <w:rFonts w:asciiTheme="majorHAnsi" w:hAnsiTheme="majorHAnsi"/>
          <w:sz w:val="24"/>
        </w:rPr>
        <w:t xml:space="preserve">Lineamientos Generales para el </w:t>
      </w:r>
      <w:r w:rsidRPr="005B551E" w:rsidR="00FF752D">
        <w:rPr>
          <w:rFonts w:asciiTheme="majorHAnsi" w:hAnsiTheme="majorHAnsi"/>
          <w:iCs/>
          <w:sz w:val="24"/>
        </w:rPr>
        <w:t xml:space="preserve">Reglamento sobre </w:t>
      </w:r>
      <w:r w:rsidRPr="005B551E" w:rsidR="00225AB8">
        <w:rPr>
          <w:rFonts w:asciiTheme="majorHAnsi" w:hAnsiTheme="majorHAnsi"/>
          <w:iCs/>
          <w:sz w:val="24"/>
        </w:rPr>
        <w:t>cálculo de estimaciones creditic</w:t>
      </w:r>
      <w:r w:rsidRPr="005B551E" w:rsidR="005D3BA0">
        <w:rPr>
          <w:rFonts w:asciiTheme="majorHAnsi" w:hAnsiTheme="majorHAnsi"/>
          <w:iCs/>
          <w:sz w:val="24"/>
        </w:rPr>
        <w:t>i</w:t>
      </w:r>
      <w:r w:rsidRPr="005B551E" w:rsidR="00225AB8">
        <w:rPr>
          <w:rFonts w:asciiTheme="majorHAnsi" w:hAnsiTheme="majorHAnsi"/>
          <w:iCs/>
          <w:sz w:val="24"/>
        </w:rPr>
        <w:t>as</w:t>
      </w:r>
      <w:r w:rsidRPr="005B551E" w:rsidR="00AA4ABF">
        <w:rPr>
          <w:rFonts w:asciiTheme="majorHAnsi" w:hAnsiTheme="majorHAnsi"/>
          <w:iCs/>
          <w:sz w:val="24"/>
        </w:rPr>
        <w:t>.</w:t>
      </w:r>
    </w:p>
    <w:p w:rsidRPr="005B551E" w:rsidR="00225AB8" w:rsidP="00F74934" w:rsidRDefault="00225AB8" w14:paraId="0199E447" w14:textId="77777777">
      <w:pPr>
        <w:pStyle w:val="Texto0"/>
        <w:spacing w:line="240" w:lineRule="auto"/>
        <w:contextualSpacing/>
        <w:rPr>
          <w:rFonts w:asciiTheme="majorHAnsi" w:hAnsiTheme="majorHAnsi"/>
          <w:iCs/>
          <w:sz w:val="24"/>
        </w:rPr>
      </w:pPr>
    </w:p>
    <w:p w:rsidRPr="005B551E" w:rsidR="00FF752D" w:rsidP="00F74934" w:rsidRDefault="00E01E95" w14:paraId="42EE2A8E" w14:textId="02A22482">
      <w:pPr>
        <w:widowControl w:val="0"/>
        <w:autoSpaceDE w:val="0"/>
        <w:autoSpaceDN w:val="0"/>
        <w:adjustRightInd w:val="0"/>
        <w:spacing w:after="240" w:line="240" w:lineRule="auto"/>
        <w:contextualSpacing/>
        <w:rPr>
          <w:rFonts w:cs="TimesNewRoman,Bold" w:asciiTheme="majorHAnsi" w:hAnsiTheme="majorHAnsi"/>
          <w:b/>
          <w:bCs/>
          <w:color w:val="000000"/>
          <w:sz w:val="24"/>
        </w:rPr>
      </w:pPr>
      <w:r>
        <w:rPr>
          <w:rFonts w:cs="TimesNewRoman,Bold" w:asciiTheme="majorHAnsi" w:hAnsiTheme="majorHAnsi"/>
          <w:b/>
          <w:bCs/>
          <w:color w:val="000000"/>
          <w:sz w:val="24"/>
        </w:rPr>
        <w:t>La</w:t>
      </w:r>
      <w:r w:rsidRPr="005B551E" w:rsidR="00FF752D">
        <w:rPr>
          <w:rFonts w:cs="TimesNewRoman,Bold" w:asciiTheme="majorHAnsi" w:hAnsiTheme="majorHAnsi"/>
          <w:b/>
          <w:bCs/>
          <w:color w:val="000000"/>
          <w:sz w:val="24"/>
        </w:rPr>
        <w:t xml:space="preserve"> </w:t>
      </w:r>
      <w:r>
        <w:rPr>
          <w:rFonts w:cs="TimesNewRoman,Bold" w:asciiTheme="majorHAnsi" w:hAnsiTheme="majorHAnsi"/>
          <w:b/>
          <w:bCs/>
          <w:color w:val="000000"/>
          <w:sz w:val="24"/>
        </w:rPr>
        <w:t>Superi</w:t>
      </w:r>
      <w:r w:rsidRPr="005B551E" w:rsidR="00FF752D">
        <w:rPr>
          <w:rFonts w:cs="TimesNewRoman,Bold" w:asciiTheme="majorHAnsi" w:hAnsiTheme="majorHAnsi"/>
          <w:b/>
          <w:bCs/>
          <w:color w:val="000000"/>
          <w:sz w:val="24"/>
        </w:rPr>
        <w:t>ntendente General de Entidades Financieras</w:t>
      </w:r>
    </w:p>
    <w:p w:rsidRPr="005B551E" w:rsidR="00C93664" w:rsidP="00F74934" w:rsidRDefault="00C93664" w14:paraId="3B91B540" w14:textId="77777777">
      <w:pPr>
        <w:widowControl w:val="0"/>
        <w:autoSpaceDE w:val="0"/>
        <w:autoSpaceDN w:val="0"/>
        <w:adjustRightInd w:val="0"/>
        <w:spacing w:after="240" w:line="240" w:lineRule="auto"/>
        <w:contextualSpacing/>
        <w:rPr>
          <w:rFonts w:cs="TimesNewRoman" w:asciiTheme="majorHAnsi" w:hAnsiTheme="majorHAnsi"/>
          <w:color w:val="000000"/>
          <w:sz w:val="24"/>
        </w:rPr>
      </w:pPr>
    </w:p>
    <w:p w:rsidRPr="005B551E" w:rsidR="00225AB8" w:rsidP="00F74934" w:rsidRDefault="00225AB8" w14:paraId="064CDA0C" w14:textId="2D753F5C">
      <w:pPr>
        <w:spacing w:after="120" w:line="240" w:lineRule="auto"/>
        <w:ind w:hanging="10"/>
        <w:contextualSpacing/>
        <w:rPr>
          <w:rFonts w:asciiTheme="majorHAnsi" w:hAnsiTheme="majorHAnsi" w:cstheme="minorHAnsi"/>
          <w:b/>
          <w:sz w:val="24"/>
        </w:rPr>
      </w:pPr>
      <w:r w:rsidRPr="005B551E">
        <w:rPr>
          <w:rFonts w:asciiTheme="majorHAnsi" w:hAnsiTheme="majorHAnsi" w:cstheme="minorHAnsi"/>
          <w:b/>
          <w:sz w:val="24"/>
        </w:rPr>
        <w:t xml:space="preserve">Considerando: </w:t>
      </w:r>
    </w:p>
    <w:p w:rsidRPr="005B551E" w:rsidR="009A6C47" w:rsidP="00F74934" w:rsidRDefault="009A6C47" w14:paraId="060C68D1" w14:textId="77777777">
      <w:pPr>
        <w:spacing w:after="120" w:line="240" w:lineRule="auto"/>
        <w:ind w:hanging="10"/>
        <w:contextualSpacing/>
        <w:rPr>
          <w:rFonts w:asciiTheme="majorHAnsi" w:hAnsiTheme="majorHAnsi" w:cstheme="minorHAnsi"/>
          <w:sz w:val="24"/>
        </w:rPr>
      </w:pPr>
    </w:p>
    <w:p w:rsidRPr="005B551E" w:rsidR="00225AB8" w:rsidP="00F74934" w:rsidRDefault="00225AB8" w14:paraId="4D55B402" w14:textId="5FDD1F79">
      <w:pPr>
        <w:numPr>
          <w:ilvl w:val="1"/>
          <w:numId w:val="4"/>
        </w:numPr>
        <w:spacing w:after="120" w:line="240" w:lineRule="auto"/>
        <w:ind w:left="567" w:hanging="360"/>
        <w:contextualSpacing/>
        <w:rPr>
          <w:rFonts w:asciiTheme="majorHAnsi" w:hAnsiTheme="majorHAnsi" w:cstheme="minorHAnsi"/>
          <w:sz w:val="24"/>
        </w:rPr>
      </w:pPr>
      <w:r w:rsidRPr="005B551E">
        <w:rPr>
          <w:rFonts w:asciiTheme="majorHAnsi" w:hAnsiTheme="majorHAnsi" w:cstheme="minorHAnsi"/>
          <w:sz w:val="24"/>
        </w:rPr>
        <w:t xml:space="preserve">Que </w:t>
      </w:r>
      <w:r w:rsidRPr="005B551E" w:rsidR="00B91352">
        <w:rPr>
          <w:rFonts w:asciiTheme="majorHAnsi" w:hAnsiTheme="majorHAnsi" w:cstheme="minorHAnsi"/>
          <w:sz w:val="24"/>
        </w:rPr>
        <w:t>e</w:t>
      </w:r>
      <w:r w:rsidRPr="005B551E" w:rsidR="00B91352">
        <w:rPr>
          <w:rFonts w:asciiTheme="majorHAnsi" w:hAnsiTheme="majorHAnsi"/>
          <w:sz w:val="24"/>
        </w:rPr>
        <w:t>l Consejo Nacional de Supervisión del Sistema Financiero, en los artículos 8, 7 y 9, de las actas de las sesiones 1679-2021, 1680-2021 y 1681-2021, celebradas, la primera el 9 y las siguientes el 16 de agosto del 2021</w:t>
      </w:r>
      <w:r w:rsidRPr="005B551E">
        <w:rPr>
          <w:rFonts w:asciiTheme="majorHAnsi" w:hAnsiTheme="majorHAnsi" w:cstheme="minorHAnsi"/>
          <w:sz w:val="24"/>
        </w:rPr>
        <w:t xml:space="preserve">aprobó </w:t>
      </w:r>
      <w:r w:rsidRPr="005B551E" w:rsidR="00C857E7">
        <w:rPr>
          <w:rFonts w:asciiTheme="majorHAnsi" w:hAnsiTheme="majorHAnsi" w:cstheme="minorHAnsi"/>
          <w:sz w:val="24"/>
        </w:rPr>
        <w:t xml:space="preserve">para el envío en consulta pública </w:t>
      </w:r>
      <w:r w:rsidRPr="005B551E" w:rsidR="007348C8">
        <w:rPr>
          <w:rFonts w:asciiTheme="majorHAnsi" w:hAnsiTheme="majorHAnsi" w:cstheme="minorHAnsi"/>
          <w:sz w:val="24"/>
        </w:rPr>
        <w:t xml:space="preserve">por </w:t>
      </w:r>
      <w:r w:rsidRPr="005B551E" w:rsidR="00AA4ABF">
        <w:rPr>
          <w:rFonts w:asciiTheme="majorHAnsi" w:hAnsiTheme="majorHAnsi" w:cstheme="minorHAnsi"/>
          <w:sz w:val="24"/>
        </w:rPr>
        <w:t>1</w:t>
      </w:r>
      <w:r w:rsidRPr="005B551E" w:rsidR="00B91352">
        <w:rPr>
          <w:rFonts w:asciiTheme="majorHAnsi" w:hAnsiTheme="majorHAnsi" w:cstheme="minorHAnsi"/>
          <w:sz w:val="24"/>
        </w:rPr>
        <w:t>5</w:t>
      </w:r>
      <w:r w:rsidRPr="005B551E" w:rsidR="007348C8">
        <w:rPr>
          <w:rFonts w:asciiTheme="majorHAnsi" w:hAnsiTheme="majorHAnsi" w:cstheme="minorHAnsi"/>
          <w:sz w:val="24"/>
        </w:rPr>
        <w:t xml:space="preserve"> días hábiles </w:t>
      </w:r>
      <w:r w:rsidRPr="005B551E">
        <w:rPr>
          <w:rFonts w:asciiTheme="majorHAnsi" w:hAnsiTheme="majorHAnsi" w:cstheme="minorHAnsi"/>
          <w:sz w:val="24"/>
        </w:rPr>
        <w:t xml:space="preserve">el </w:t>
      </w:r>
      <w:r w:rsidRPr="005B551E">
        <w:rPr>
          <w:rFonts w:asciiTheme="majorHAnsi" w:hAnsiTheme="majorHAnsi" w:cstheme="minorHAnsi"/>
          <w:i/>
          <w:sz w:val="24"/>
        </w:rPr>
        <w:t>Reglamento sobre Cálculo de estimaciones crediticias</w:t>
      </w:r>
      <w:r w:rsidRPr="005B551E">
        <w:rPr>
          <w:rFonts w:asciiTheme="majorHAnsi" w:hAnsiTheme="majorHAnsi" w:cstheme="minorHAnsi"/>
          <w:sz w:val="24"/>
        </w:rPr>
        <w:t xml:space="preserve">.  </w:t>
      </w:r>
    </w:p>
    <w:p w:rsidRPr="005B551E" w:rsidR="00AB2A56" w:rsidP="00F74934" w:rsidRDefault="00AB2A56" w14:paraId="368173A1" w14:textId="41BF2E90">
      <w:pPr>
        <w:numPr>
          <w:ilvl w:val="1"/>
          <w:numId w:val="4"/>
        </w:numPr>
        <w:spacing w:after="120" w:line="240" w:lineRule="auto"/>
        <w:ind w:left="567" w:hanging="360"/>
        <w:contextualSpacing/>
        <w:rPr>
          <w:rFonts w:asciiTheme="majorHAnsi" w:hAnsiTheme="majorHAnsi"/>
          <w:sz w:val="24"/>
        </w:rPr>
      </w:pPr>
      <w:r w:rsidRPr="005B551E">
        <w:rPr>
          <w:rFonts w:asciiTheme="majorHAnsi" w:hAnsiTheme="majorHAnsi"/>
          <w:sz w:val="24"/>
        </w:rPr>
        <w:t xml:space="preserve">Que el Reglamento sobre Cálculo de estimaciones crediticias, le corresponde al Superintendente emitir los Lineamientos Generales necesarios para para la aplicación del </w:t>
      </w:r>
      <w:r w:rsidRPr="005B551E">
        <w:rPr>
          <w:rFonts w:asciiTheme="majorHAnsi" w:hAnsiTheme="majorHAnsi"/>
          <w:i/>
          <w:iCs/>
          <w:sz w:val="24"/>
        </w:rPr>
        <w:t>Reglamento sobre Cálculo de estimaciones</w:t>
      </w:r>
      <w:r w:rsidRPr="005B551E">
        <w:rPr>
          <w:rFonts w:asciiTheme="majorHAnsi" w:hAnsiTheme="majorHAnsi"/>
          <w:sz w:val="24"/>
        </w:rPr>
        <w:t>. Así mismo, estos Lineamientos Generales pueden ser modificados por el Superintendente cuando identifique elementos adicionales que puedan poner en riesgo a las entidades.</w:t>
      </w:r>
    </w:p>
    <w:p w:rsidRPr="005B551E" w:rsidR="00445FD7" w:rsidP="00445FD7" w:rsidRDefault="00AB2A56" w14:paraId="2A93009A" w14:textId="77777777">
      <w:pPr>
        <w:widowControl w:val="0"/>
        <w:numPr>
          <w:ilvl w:val="0"/>
          <w:numId w:val="15"/>
        </w:numPr>
        <w:spacing w:before="120"/>
        <w:contextualSpacing/>
        <w:rPr>
          <w:rFonts w:asciiTheme="majorHAnsi" w:hAnsiTheme="majorHAnsi"/>
          <w:sz w:val="24"/>
        </w:rPr>
      </w:pPr>
      <w:r w:rsidRPr="005B551E">
        <w:rPr>
          <w:rFonts w:asciiTheme="majorHAnsi" w:hAnsiTheme="majorHAnsi"/>
          <w:sz w:val="24"/>
        </w:rPr>
        <w:t xml:space="preserve">Que de conformidad con el Artículo 131, inciso b) de </w:t>
      </w:r>
      <w:r w:rsidRPr="005B551E">
        <w:rPr>
          <w:rFonts w:asciiTheme="majorHAnsi" w:hAnsiTheme="majorHAnsi"/>
          <w:i/>
          <w:sz w:val="24"/>
        </w:rPr>
        <w:t>la Ley Orgánica del Banco Central de Costa Rica</w:t>
      </w:r>
      <w:r w:rsidRPr="005B551E">
        <w:rPr>
          <w:rFonts w:asciiTheme="majorHAnsi" w:hAnsiTheme="majorHAnsi"/>
          <w:sz w:val="24"/>
        </w:rPr>
        <w:t xml:space="preserve">, Ley </w:t>
      </w:r>
      <w:proofErr w:type="spellStart"/>
      <w:r w:rsidRPr="005B551E">
        <w:rPr>
          <w:rFonts w:asciiTheme="majorHAnsi" w:hAnsiTheme="majorHAnsi"/>
          <w:sz w:val="24"/>
        </w:rPr>
        <w:t>N°</w:t>
      </w:r>
      <w:proofErr w:type="spellEnd"/>
      <w:r w:rsidRPr="005B551E">
        <w:rPr>
          <w:rFonts w:asciiTheme="majorHAnsi" w:hAnsiTheme="majorHAnsi"/>
          <w:sz w:val="24"/>
        </w:rPr>
        <w:t xml:space="preserve"> 7558, corresponde al Superintendente tomar las medidas necesarias para ejecutar los acuerdos del Consejo Nacional de Supervisión.</w:t>
      </w:r>
      <w:r w:rsidRPr="005B551E" w:rsidR="00B91352">
        <w:rPr>
          <w:rFonts w:asciiTheme="majorHAnsi" w:hAnsiTheme="majorHAnsi"/>
          <w:sz w:val="24"/>
        </w:rPr>
        <w:t xml:space="preserve"> </w:t>
      </w:r>
    </w:p>
    <w:p w:rsidRPr="005B551E" w:rsidR="00AA4ABF" w:rsidP="00F74934" w:rsidRDefault="00AA4ABF" w14:paraId="0E5749A3" w14:textId="45B0A95D">
      <w:pPr>
        <w:spacing w:after="120" w:line="240" w:lineRule="auto"/>
        <w:ind w:left="567"/>
        <w:contextualSpacing/>
        <w:rPr>
          <w:rFonts w:asciiTheme="majorHAnsi" w:hAnsiTheme="majorHAnsi"/>
          <w:sz w:val="24"/>
        </w:rPr>
      </w:pPr>
    </w:p>
    <w:p w:rsidRPr="005B551E" w:rsidR="00225AB8" w:rsidP="00F74934" w:rsidRDefault="00225AB8" w14:paraId="5BD50CC0" w14:textId="793DAB7D">
      <w:pPr>
        <w:spacing w:after="120" w:line="240" w:lineRule="auto"/>
        <w:ind w:hanging="10"/>
        <w:contextualSpacing/>
        <w:rPr>
          <w:rFonts w:asciiTheme="majorHAnsi" w:hAnsiTheme="majorHAnsi" w:cstheme="minorHAnsi"/>
          <w:b/>
          <w:sz w:val="24"/>
        </w:rPr>
      </w:pPr>
      <w:r w:rsidRPr="005B551E">
        <w:rPr>
          <w:rFonts w:asciiTheme="majorHAnsi" w:hAnsiTheme="majorHAnsi" w:cstheme="minorHAnsi"/>
          <w:b/>
          <w:sz w:val="24"/>
        </w:rPr>
        <w:t xml:space="preserve">Dispone: </w:t>
      </w:r>
    </w:p>
    <w:p w:rsidRPr="005B551E" w:rsidR="00AA4ABF" w:rsidP="00F74934" w:rsidRDefault="00AA4ABF" w14:paraId="4DE8CEEC" w14:textId="77777777">
      <w:pPr>
        <w:spacing w:after="120" w:line="240" w:lineRule="auto"/>
        <w:ind w:hanging="10"/>
        <w:contextualSpacing/>
        <w:rPr>
          <w:rFonts w:asciiTheme="majorHAnsi" w:hAnsiTheme="majorHAnsi" w:cstheme="minorHAnsi"/>
          <w:sz w:val="24"/>
        </w:rPr>
      </w:pPr>
    </w:p>
    <w:p w:rsidRPr="005B551E" w:rsidR="00AA4ABF" w:rsidP="00F74934" w:rsidRDefault="00AA4ABF" w14:paraId="2452E951" w14:textId="518CC3C5">
      <w:pPr>
        <w:pStyle w:val="Prrafodelista"/>
        <w:numPr>
          <w:ilvl w:val="0"/>
          <w:numId w:val="5"/>
        </w:numPr>
        <w:spacing w:after="160" w:line="240" w:lineRule="auto"/>
        <w:jc w:val="both"/>
        <w:rPr>
          <w:rFonts w:asciiTheme="majorHAnsi" w:hAnsiTheme="majorHAnsi"/>
          <w:b/>
          <w:sz w:val="24"/>
          <w:szCs w:val="24"/>
        </w:rPr>
      </w:pPr>
      <w:r w:rsidRPr="005B551E">
        <w:rPr>
          <w:rFonts w:asciiTheme="majorHAnsi" w:hAnsiTheme="majorHAnsi" w:cstheme="minorHAnsi"/>
          <w:b/>
          <w:sz w:val="24"/>
          <w:szCs w:val="24"/>
        </w:rPr>
        <w:t>Modificar el nombre de los Lineamientos Generales objeto de modificación, según el siguiente texto: “Lineamientos Generales para la aplicación del Reglamento sobre Cálculo de Estimaciones Crediticias”.</w:t>
      </w:r>
    </w:p>
    <w:p w:rsidRPr="005B551E" w:rsidR="00AA4ABF" w:rsidP="00F74934" w:rsidRDefault="00AA4ABF" w14:paraId="1BCD81AC" w14:textId="77777777">
      <w:pPr>
        <w:pStyle w:val="Prrafodelista"/>
        <w:spacing w:line="240" w:lineRule="auto"/>
        <w:ind w:left="360"/>
        <w:jc w:val="both"/>
        <w:rPr>
          <w:rFonts w:asciiTheme="majorHAnsi" w:hAnsiTheme="majorHAnsi"/>
          <w:b/>
          <w:sz w:val="24"/>
          <w:szCs w:val="24"/>
        </w:rPr>
      </w:pPr>
    </w:p>
    <w:p w:rsidRPr="005B551E" w:rsidR="00AA4ABF" w:rsidP="00F74934" w:rsidRDefault="00AA4ABF" w14:paraId="35F474A2" w14:textId="77777777">
      <w:pPr>
        <w:pStyle w:val="Prrafodelista"/>
        <w:numPr>
          <w:ilvl w:val="0"/>
          <w:numId w:val="5"/>
        </w:numPr>
        <w:spacing w:after="160" w:line="240" w:lineRule="auto"/>
        <w:jc w:val="both"/>
        <w:rPr>
          <w:rFonts w:asciiTheme="majorHAnsi" w:hAnsiTheme="majorHAnsi"/>
          <w:b/>
          <w:sz w:val="24"/>
          <w:szCs w:val="24"/>
        </w:rPr>
      </w:pPr>
      <w:r w:rsidRPr="005B551E">
        <w:rPr>
          <w:rFonts w:asciiTheme="majorHAnsi" w:hAnsiTheme="majorHAnsi" w:cstheme="minorHAnsi"/>
          <w:b/>
          <w:sz w:val="24"/>
          <w:szCs w:val="24"/>
        </w:rPr>
        <w:t>Modificar el Objetivo General, según el siguiente texto:</w:t>
      </w:r>
    </w:p>
    <w:p w:rsidRPr="005B551E" w:rsidR="00AA4ABF" w:rsidP="00F74934" w:rsidRDefault="00AA4ABF" w14:paraId="7E2B39D3" w14:textId="77777777">
      <w:pPr>
        <w:pStyle w:val="Prrafodelista"/>
        <w:spacing w:line="240" w:lineRule="auto"/>
        <w:ind w:left="360"/>
        <w:jc w:val="both"/>
        <w:rPr>
          <w:rFonts w:asciiTheme="majorHAnsi" w:hAnsiTheme="majorHAnsi" w:cstheme="minorHAnsi"/>
          <w:i/>
          <w:iCs/>
          <w:sz w:val="24"/>
          <w:szCs w:val="24"/>
        </w:rPr>
      </w:pPr>
      <w:r w:rsidRPr="005B551E">
        <w:rPr>
          <w:rFonts w:asciiTheme="majorHAnsi" w:hAnsiTheme="majorHAnsi" w:cstheme="minorHAnsi"/>
          <w:b/>
          <w:i/>
          <w:iCs/>
          <w:sz w:val="24"/>
          <w:szCs w:val="24"/>
        </w:rPr>
        <w:t>“Objetivo general:</w:t>
      </w:r>
      <w:r w:rsidRPr="005B551E">
        <w:rPr>
          <w:rFonts w:asciiTheme="majorHAnsi" w:hAnsiTheme="majorHAnsi" w:cstheme="minorHAnsi"/>
          <w:i/>
          <w:iCs/>
          <w:sz w:val="24"/>
          <w:szCs w:val="24"/>
        </w:rPr>
        <w:t xml:space="preserve"> Determinar aspectos generales que las entidades deben observar para la aplicación del “Reglamento sobre Cálculo de Estimaciones Crediticias””</w:t>
      </w:r>
    </w:p>
    <w:p w:rsidRPr="005B551E" w:rsidR="00AA4ABF" w:rsidP="00F74934" w:rsidRDefault="00AA4ABF" w14:paraId="5B563EB9" w14:textId="77777777">
      <w:pPr>
        <w:pStyle w:val="Prrafodelista"/>
        <w:spacing w:line="240" w:lineRule="auto"/>
        <w:ind w:left="360"/>
        <w:jc w:val="both"/>
        <w:rPr>
          <w:rFonts w:asciiTheme="majorHAnsi" w:hAnsiTheme="majorHAnsi" w:cstheme="minorHAnsi"/>
          <w:i/>
          <w:iCs/>
          <w:sz w:val="24"/>
          <w:szCs w:val="24"/>
        </w:rPr>
      </w:pPr>
    </w:p>
    <w:p w:rsidRPr="005B551E" w:rsidR="00AA4ABF" w:rsidP="00F74934" w:rsidRDefault="00AA4ABF" w14:paraId="16B12EC7" w14:textId="203F508F">
      <w:pPr>
        <w:pStyle w:val="Prrafodelista"/>
        <w:numPr>
          <w:ilvl w:val="0"/>
          <w:numId w:val="5"/>
        </w:numPr>
        <w:spacing w:after="160" w:line="240" w:lineRule="auto"/>
        <w:jc w:val="both"/>
        <w:rPr>
          <w:rFonts w:asciiTheme="majorHAnsi" w:hAnsiTheme="majorHAnsi"/>
          <w:b/>
          <w:sz w:val="24"/>
          <w:szCs w:val="24"/>
        </w:rPr>
      </w:pPr>
      <w:r w:rsidRPr="005B551E">
        <w:rPr>
          <w:rFonts w:asciiTheme="majorHAnsi" w:hAnsiTheme="majorHAnsi" w:cstheme="minorHAnsi"/>
          <w:b/>
          <w:sz w:val="24"/>
          <w:szCs w:val="24"/>
        </w:rPr>
        <w:t>Modificar la Sección I. ANÁLISIS DE LA CAPACIDAD DE PAGO, de conformidad con el siguiente texto:</w:t>
      </w:r>
    </w:p>
    <w:p w:rsidRPr="005B551E" w:rsidR="00AA4ABF" w:rsidP="00F74934" w:rsidRDefault="00AA4ABF" w14:paraId="38023852" w14:textId="77777777">
      <w:pPr>
        <w:pStyle w:val="Prrafodelista"/>
        <w:spacing w:after="160" w:line="240" w:lineRule="auto"/>
        <w:ind w:left="360"/>
        <w:jc w:val="both"/>
        <w:rPr>
          <w:rFonts w:asciiTheme="majorHAnsi" w:hAnsiTheme="majorHAnsi"/>
          <w:b/>
          <w:sz w:val="24"/>
          <w:szCs w:val="24"/>
        </w:rPr>
      </w:pPr>
    </w:p>
    <w:p w:rsidRPr="005B551E" w:rsidR="00AA4ABF" w:rsidP="00F74934" w:rsidRDefault="00AA4ABF" w14:paraId="265C4D87" w14:textId="06A15890">
      <w:pPr>
        <w:pStyle w:val="Prrafodelista"/>
        <w:spacing w:line="240" w:lineRule="auto"/>
        <w:ind w:left="360"/>
        <w:jc w:val="both"/>
        <w:rPr>
          <w:rFonts w:asciiTheme="majorHAnsi" w:hAnsiTheme="majorHAnsi" w:cstheme="minorHAnsi"/>
          <w:b/>
          <w:bCs/>
          <w:i/>
          <w:iCs/>
          <w:sz w:val="24"/>
          <w:szCs w:val="24"/>
        </w:rPr>
      </w:pPr>
      <w:r w:rsidRPr="005B551E">
        <w:rPr>
          <w:rFonts w:asciiTheme="majorHAnsi" w:hAnsiTheme="majorHAnsi" w:cstheme="minorHAnsi"/>
          <w:b/>
          <w:bCs/>
          <w:i/>
          <w:iCs/>
          <w:sz w:val="24"/>
          <w:szCs w:val="24"/>
        </w:rPr>
        <w:t>“I. ANALISIS DE LA CAPACIDAD DE PAGO DE LOS DEUDORES CLASIFICADOS EN LOS SEGMENTOS EMPRESARIAL 1 Y 2</w:t>
      </w:r>
    </w:p>
    <w:p w:rsidRPr="005B551E" w:rsidR="00F74934" w:rsidP="00F74934" w:rsidRDefault="00F74934" w14:paraId="76CF3D50" w14:textId="77777777">
      <w:pPr>
        <w:pStyle w:val="Prrafodelista"/>
        <w:spacing w:line="240" w:lineRule="auto"/>
        <w:ind w:left="360"/>
        <w:jc w:val="both"/>
        <w:rPr>
          <w:rFonts w:asciiTheme="majorHAnsi" w:hAnsiTheme="majorHAnsi" w:cstheme="minorHAnsi"/>
          <w:b/>
          <w:bCs/>
          <w:i/>
          <w:iCs/>
          <w:sz w:val="24"/>
          <w:szCs w:val="24"/>
        </w:rPr>
      </w:pPr>
    </w:p>
    <w:p w:rsidRPr="005B551E" w:rsidR="00AA4ABF" w:rsidP="00F74934" w:rsidRDefault="00AA4ABF" w14:paraId="3E170797" w14:textId="77777777">
      <w:pPr>
        <w:pStyle w:val="Prrafodelista"/>
        <w:spacing w:line="240" w:lineRule="auto"/>
        <w:ind w:left="360"/>
        <w:jc w:val="both"/>
        <w:rPr>
          <w:rFonts w:asciiTheme="majorHAnsi" w:hAnsiTheme="majorHAnsi" w:cstheme="minorHAnsi"/>
          <w:i/>
          <w:iCs/>
          <w:sz w:val="24"/>
          <w:szCs w:val="24"/>
        </w:rPr>
      </w:pPr>
      <w:r w:rsidRPr="005B551E">
        <w:rPr>
          <w:rFonts w:asciiTheme="majorHAnsi" w:hAnsiTheme="majorHAnsi" w:cstheme="minorHAnsi"/>
          <w:b/>
          <w:i/>
          <w:iCs/>
          <w:sz w:val="24"/>
          <w:szCs w:val="24"/>
        </w:rPr>
        <w:t>Objetivo:</w:t>
      </w:r>
      <w:r w:rsidRPr="005B551E">
        <w:rPr>
          <w:rFonts w:asciiTheme="majorHAnsi" w:hAnsiTheme="majorHAnsi" w:cstheme="minorHAnsi"/>
          <w:b/>
          <w:i/>
          <w:iCs/>
          <w:sz w:val="24"/>
          <w:szCs w:val="24"/>
        </w:rPr>
        <w:tab/>
      </w:r>
      <w:r w:rsidRPr="005B551E">
        <w:rPr>
          <w:rFonts w:asciiTheme="majorHAnsi" w:hAnsiTheme="majorHAnsi" w:cstheme="minorHAnsi"/>
          <w:bCs/>
          <w:i/>
          <w:iCs/>
          <w:sz w:val="24"/>
          <w:szCs w:val="24"/>
        </w:rPr>
        <w:t>Establecer aspectos mínimos para el análisis de la capacidad de pago de los deudores clasificados en el segmento Empresarial 1 y en el segmento Empresarial 2</w:t>
      </w:r>
      <w:r w:rsidRPr="005B551E">
        <w:rPr>
          <w:rFonts w:asciiTheme="majorHAnsi" w:hAnsiTheme="majorHAnsi" w:cstheme="minorHAnsi"/>
          <w:i/>
          <w:iCs/>
          <w:sz w:val="24"/>
          <w:szCs w:val="24"/>
        </w:rPr>
        <w:t>. Entre otros aspectos, se incluyen disposiciones enfocadas a determinar la capacidad financiera del deudor y la estabilidad de la fuente primaria de reembolso para hacer frente a sus obligaciones financieras en el futuro, con base en información oportuna y de calidad.</w:t>
      </w:r>
    </w:p>
    <w:p w:rsidRPr="005B551E" w:rsidR="00AA4ABF" w:rsidP="00F74934" w:rsidRDefault="00AA4ABF" w14:paraId="148AF3A4" w14:textId="77777777">
      <w:pPr>
        <w:pStyle w:val="Prrafodelista"/>
        <w:spacing w:line="240" w:lineRule="auto"/>
        <w:ind w:left="360"/>
        <w:jc w:val="both"/>
        <w:rPr>
          <w:rFonts w:asciiTheme="majorHAnsi" w:hAnsiTheme="majorHAnsi" w:cstheme="minorHAnsi"/>
          <w:i/>
          <w:iCs/>
          <w:sz w:val="24"/>
          <w:szCs w:val="24"/>
        </w:rPr>
      </w:pPr>
    </w:p>
    <w:p w:rsidRPr="005B551E" w:rsidR="00AA4ABF" w:rsidP="00F74934" w:rsidRDefault="00AA4ABF" w14:paraId="31B18E81" w14:textId="77777777">
      <w:pPr>
        <w:pStyle w:val="Prrafodelista"/>
        <w:numPr>
          <w:ilvl w:val="0"/>
          <w:numId w:val="6"/>
        </w:numPr>
        <w:spacing w:after="160" w:line="240" w:lineRule="auto"/>
        <w:ind w:left="567" w:hanging="283"/>
        <w:jc w:val="both"/>
        <w:rPr>
          <w:rFonts w:asciiTheme="majorHAnsi" w:hAnsiTheme="majorHAnsi"/>
          <w:b/>
          <w:sz w:val="24"/>
          <w:szCs w:val="24"/>
        </w:rPr>
      </w:pPr>
      <w:r w:rsidRPr="005B551E">
        <w:rPr>
          <w:rFonts w:asciiTheme="majorHAnsi" w:hAnsiTheme="majorHAnsi" w:cstheme="minorHAnsi"/>
          <w:b/>
          <w:i/>
          <w:iCs/>
          <w:sz w:val="24"/>
          <w:szCs w:val="24"/>
        </w:rPr>
        <w:t>ANÁLISIS DE LA CAPACIDAD DE PAGO</w:t>
      </w:r>
    </w:p>
    <w:p w:rsidRPr="005B551E" w:rsidR="00AA4ABF" w:rsidP="00F74934" w:rsidRDefault="00AA4ABF" w14:paraId="03B4BFFC" w14:textId="07701E54">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El Reglamento sobre Cálculo de Estimaciones Crediticias establece, al menos, cinco aspectos que las entidades supervisadas deben tomar en consideración para el análisis de capacidad de pago de los deudores.</w:t>
      </w:r>
    </w:p>
    <w:p w:rsidRPr="005B551E" w:rsidR="00F74934" w:rsidP="00F74934" w:rsidRDefault="00F74934" w14:paraId="73481E28" w14:textId="77777777">
      <w:pPr>
        <w:spacing w:line="240" w:lineRule="auto"/>
        <w:ind w:left="284"/>
        <w:contextualSpacing/>
        <w:rPr>
          <w:rFonts w:asciiTheme="majorHAnsi" w:hAnsiTheme="majorHAnsi" w:cstheme="minorHAnsi"/>
          <w:i/>
          <w:iCs/>
          <w:sz w:val="24"/>
        </w:rPr>
      </w:pPr>
    </w:p>
    <w:p w:rsidRPr="005B551E" w:rsidR="00AA4ABF" w:rsidP="00F74934" w:rsidRDefault="00AA4ABF" w14:paraId="4835E736" w14:textId="77777777">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El siguiente diagrama resume dicho esquema conceptual:</w:t>
      </w:r>
    </w:p>
    <w:p w:rsidRPr="005B551E" w:rsidR="00AA4ABF" w:rsidP="00F74934" w:rsidRDefault="00AA4ABF" w14:paraId="56F3D317" w14:textId="77777777">
      <w:pPr>
        <w:spacing w:line="240" w:lineRule="auto"/>
        <w:ind w:left="284"/>
        <w:contextualSpacing/>
        <w:rPr>
          <w:rFonts w:asciiTheme="majorHAnsi" w:hAnsiTheme="majorHAnsi"/>
          <w:b/>
          <w:sz w:val="24"/>
        </w:rPr>
      </w:pPr>
      <w:r w:rsidRPr="005B551E">
        <w:rPr>
          <w:rFonts w:asciiTheme="majorHAnsi" w:hAnsiTheme="majorHAnsi" w:cstheme="minorHAnsi"/>
          <w:noProof/>
          <w:sz w:val="24"/>
          <w:lang w:eastAsia="es-CR"/>
        </w:rPr>
        <w:drawing>
          <wp:anchor distT="0" distB="0" distL="114300" distR="114300" simplePos="0" relativeHeight="251660288" behindDoc="1" locked="0" layoutInCell="1" allowOverlap="1" wp14:editId="382335D4" wp14:anchorId="28E018C6">
            <wp:simplePos x="0" y="0"/>
            <wp:positionH relativeFrom="margin">
              <wp:align>center</wp:align>
            </wp:positionH>
            <wp:positionV relativeFrom="paragraph">
              <wp:posOffset>18423</wp:posOffset>
            </wp:positionV>
            <wp:extent cx="4710430" cy="1688465"/>
            <wp:effectExtent l="0" t="0" r="0" b="6985"/>
            <wp:wrapTight wrapText="bothSides">
              <wp:wrapPolygon edited="0">
                <wp:start x="0" y="0"/>
                <wp:lineTo x="0" y="21446"/>
                <wp:lineTo x="21489" y="21446"/>
                <wp:lineTo x="2148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10430" cy="1688465"/>
                    </a:xfrm>
                    <a:prstGeom prst="rect">
                      <a:avLst/>
                    </a:prstGeom>
                  </pic:spPr>
                </pic:pic>
              </a:graphicData>
            </a:graphic>
            <wp14:sizeRelH relativeFrom="page">
              <wp14:pctWidth>0</wp14:pctWidth>
            </wp14:sizeRelH>
            <wp14:sizeRelV relativeFrom="page">
              <wp14:pctHeight>0</wp14:pctHeight>
            </wp14:sizeRelV>
          </wp:anchor>
        </w:drawing>
      </w:r>
    </w:p>
    <w:p w:rsidRPr="005B551E" w:rsidR="00AA4ABF" w:rsidP="00F74934" w:rsidRDefault="00AA4ABF" w14:paraId="62F5F657" w14:textId="77777777">
      <w:pPr>
        <w:spacing w:line="240" w:lineRule="auto"/>
        <w:ind w:left="284"/>
        <w:contextualSpacing/>
        <w:rPr>
          <w:rFonts w:asciiTheme="majorHAnsi" w:hAnsiTheme="majorHAnsi"/>
          <w:b/>
          <w:sz w:val="24"/>
        </w:rPr>
      </w:pPr>
    </w:p>
    <w:p w:rsidRPr="005B551E" w:rsidR="00AA4ABF" w:rsidP="00F74934" w:rsidRDefault="00AA4ABF" w14:paraId="10F85168" w14:textId="77777777">
      <w:pPr>
        <w:spacing w:line="240" w:lineRule="auto"/>
        <w:ind w:left="284"/>
        <w:contextualSpacing/>
        <w:rPr>
          <w:rFonts w:asciiTheme="majorHAnsi" w:hAnsiTheme="majorHAnsi"/>
          <w:b/>
          <w:sz w:val="24"/>
        </w:rPr>
      </w:pPr>
    </w:p>
    <w:p w:rsidRPr="005B551E" w:rsidR="00AA4ABF" w:rsidP="00F74934" w:rsidRDefault="00AA4ABF" w14:paraId="2157C88B" w14:textId="77777777">
      <w:pPr>
        <w:spacing w:line="240" w:lineRule="auto"/>
        <w:ind w:left="284"/>
        <w:contextualSpacing/>
        <w:rPr>
          <w:rFonts w:asciiTheme="majorHAnsi" w:hAnsiTheme="majorHAnsi"/>
          <w:b/>
          <w:sz w:val="24"/>
        </w:rPr>
      </w:pPr>
    </w:p>
    <w:p w:rsidRPr="005B551E" w:rsidR="00AA4ABF" w:rsidP="00F74934" w:rsidRDefault="00AA4ABF" w14:paraId="3FB53418" w14:textId="77777777">
      <w:pPr>
        <w:spacing w:line="240" w:lineRule="auto"/>
        <w:ind w:left="284"/>
        <w:contextualSpacing/>
        <w:rPr>
          <w:rFonts w:asciiTheme="majorHAnsi" w:hAnsiTheme="majorHAnsi"/>
          <w:b/>
          <w:sz w:val="24"/>
        </w:rPr>
      </w:pPr>
    </w:p>
    <w:p w:rsidRPr="005B551E" w:rsidR="00AA4ABF" w:rsidP="00F74934" w:rsidRDefault="00AA4ABF" w14:paraId="259C4E05" w14:textId="77777777">
      <w:pPr>
        <w:spacing w:line="240" w:lineRule="auto"/>
        <w:ind w:left="284"/>
        <w:contextualSpacing/>
        <w:rPr>
          <w:rFonts w:asciiTheme="majorHAnsi" w:hAnsiTheme="majorHAnsi"/>
          <w:b/>
          <w:sz w:val="24"/>
        </w:rPr>
      </w:pPr>
    </w:p>
    <w:p w:rsidRPr="005B551E" w:rsidR="00AA4ABF" w:rsidP="00F74934" w:rsidRDefault="00AA4ABF" w14:paraId="7869CC5C" w14:textId="30B9D3BA">
      <w:pPr>
        <w:spacing w:line="240" w:lineRule="auto"/>
        <w:ind w:left="284"/>
        <w:contextualSpacing/>
        <w:rPr>
          <w:rFonts w:asciiTheme="majorHAnsi" w:hAnsiTheme="majorHAnsi"/>
          <w:b/>
          <w:sz w:val="24"/>
        </w:rPr>
      </w:pPr>
    </w:p>
    <w:p w:rsidRPr="005B551E" w:rsidR="00F74934" w:rsidP="00F74934" w:rsidRDefault="00F74934" w14:paraId="63FC4F53" w14:textId="617C0B4D">
      <w:pPr>
        <w:spacing w:line="240" w:lineRule="auto"/>
        <w:ind w:left="284"/>
        <w:contextualSpacing/>
        <w:rPr>
          <w:rFonts w:asciiTheme="majorHAnsi" w:hAnsiTheme="majorHAnsi"/>
          <w:b/>
          <w:sz w:val="24"/>
        </w:rPr>
      </w:pPr>
    </w:p>
    <w:p w:rsidRPr="005B551E" w:rsidR="00F74934" w:rsidP="00F74934" w:rsidRDefault="00F74934" w14:paraId="6ECA753E" w14:textId="6800B76B">
      <w:pPr>
        <w:spacing w:line="240" w:lineRule="auto"/>
        <w:ind w:left="284"/>
        <w:contextualSpacing/>
        <w:rPr>
          <w:rFonts w:asciiTheme="majorHAnsi" w:hAnsiTheme="majorHAnsi"/>
          <w:b/>
          <w:sz w:val="24"/>
        </w:rPr>
      </w:pPr>
    </w:p>
    <w:p w:rsidRPr="005B551E" w:rsidR="00F74934" w:rsidP="00F74934" w:rsidRDefault="00F74934" w14:paraId="7E897349" w14:textId="7A18BB8A">
      <w:pPr>
        <w:spacing w:line="240" w:lineRule="auto"/>
        <w:ind w:left="284"/>
        <w:contextualSpacing/>
        <w:rPr>
          <w:rFonts w:asciiTheme="majorHAnsi" w:hAnsiTheme="majorHAnsi"/>
          <w:b/>
          <w:sz w:val="24"/>
        </w:rPr>
      </w:pPr>
    </w:p>
    <w:p w:rsidRPr="005B551E" w:rsidR="00F74934" w:rsidP="00F74934" w:rsidRDefault="00F74934" w14:paraId="21DF9F6F" w14:textId="77777777">
      <w:pPr>
        <w:spacing w:line="240" w:lineRule="auto"/>
        <w:ind w:left="284"/>
        <w:contextualSpacing/>
        <w:rPr>
          <w:rFonts w:asciiTheme="majorHAnsi" w:hAnsiTheme="majorHAnsi"/>
          <w:b/>
          <w:sz w:val="24"/>
        </w:rPr>
      </w:pPr>
    </w:p>
    <w:p w:rsidRPr="005B551E" w:rsidR="00AA4ABF" w:rsidP="00F74934" w:rsidRDefault="00AA4ABF" w14:paraId="0DD1EE9E" w14:textId="77777777">
      <w:pPr>
        <w:pStyle w:val="Prrafodelista"/>
        <w:numPr>
          <w:ilvl w:val="0"/>
          <w:numId w:val="7"/>
        </w:numPr>
        <w:spacing w:after="160" w:line="240" w:lineRule="auto"/>
        <w:ind w:left="709" w:hanging="283"/>
        <w:jc w:val="both"/>
        <w:rPr>
          <w:rFonts w:asciiTheme="majorHAnsi" w:hAnsiTheme="majorHAnsi"/>
          <w:b/>
          <w:sz w:val="24"/>
          <w:szCs w:val="24"/>
        </w:rPr>
      </w:pPr>
      <w:r w:rsidRPr="005B551E">
        <w:rPr>
          <w:rFonts w:asciiTheme="majorHAnsi" w:hAnsiTheme="majorHAnsi" w:cstheme="minorHAnsi"/>
          <w:b/>
          <w:i/>
          <w:iCs/>
          <w:sz w:val="24"/>
          <w:szCs w:val="24"/>
        </w:rPr>
        <w:t>Valoración cuantitativa</w:t>
      </w:r>
    </w:p>
    <w:p w:rsidRPr="005B551E" w:rsidR="00AA4ABF" w:rsidP="00F74934" w:rsidRDefault="00AA4ABF" w14:paraId="49BBED5A" w14:textId="4540D719">
      <w:pPr>
        <w:spacing w:line="240" w:lineRule="auto"/>
        <w:ind w:left="426"/>
        <w:contextualSpacing/>
        <w:rPr>
          <w:rFonts w:asciiTheme="majorHAnsi" w:hAnsiTheme="majorHAnsi" w:cstheme="minorHAnsi"/>
          <w:i/>
          <w:iCs/>
          <w:sz w:val="24"/>
        </w:rPr>
      </w:pPr>
      <w:r w:rsidRPr="005B551E">
        <w:rPr>
          <w:rFonts w:asciiTheme="majorHAnsi" w:hAnsiTheme="majorHAnsi" w:cstheme="minorHAnsi"/>
          <w:i/>
          <w:iCs/>
          <w:sz w:val="24"/>
        </w:rPr>
        <w:lastRenderedPageBreak/>
        <w:t>La valoración cuantitativa del deudor se basa en el análisis de la información contable- financiera disponible. A criterio de la entidad financiera, pueden utilizarse diversas técnicas para apoyar este análisis, entre las que se encuentran el análisis vertical y horizontal, el análisis de flujos de efectivo y el uso de razones o indicadores financieros.  En general mediante el análisis de información financiero – contable se busca valorar la capacidad financiera del deudor y la estabilidad de la fuente primaria de reembolso para hacer frente a sus obligaciones financieras en el futuro. Los resultados de estos análisis deben estar adecuadamente fundamentados en el expediente del cliente.</w:t>
      </w:r>
    </w:p>
    <w:p w:rsidRPr="005B551E" w:rsidR="00F74934" w:rsidP="00F74934" w:rsidRDefault="00F74934" w14:paraId="6388C6F3" w14:textId="77777777">
      <w:pPr>
        <w:spacing w:line="240" w:lineRule="auto"/>
        <w:ind w:left="426"/>
        <w:contextualSpacing/>
        <w:rPr>
          <w:rFonts w:asciiTheme="majorHAnsi" w:hAnsiTheme="majorHAnsi" w:cstheme="minorHAnsi"/>
          <w:i/>
          <w:iCs/>
          <w:sz w:val="24"/>
        </w:rPr>
      </w:pPr>
    </w:p>
    <w:p w:rsidRPr="005B551E" w:rsidR="00AA4ABF" w:rsidP="00F74934" w:rsidRDefault="00AA4ABF" w14:paraId="498D7A40" w14:textId="66E73D36">
      <w:pPr>
        <w:spacing w:line="240" w:lineRule="auto"/>
        <w:ind w:left="426"/>
        <w:contextualSpacing/>
        <w:rPr>
          <w:rFonts w:asciiTheme="majorHAnsi" w:hAnsiTheme="majorHAnsi" w:cstheme="minorHAnsi"/>
          <w:i/>
          <w:iCs/>
          <w:sz w:val="24"/>
        </w:rPr>
      </w:pPr>
      <w:r w:rsidRPr="005B551E">
        <w:rPr>
          <w:rFonts w:asciiTheme="majorHAnsi" w:hAnsiTheme="majorHAnsi" w:cstheme="minorHAnsi"/>
          <w:i/>
          <w:iCs/>
          <w:sz w:val="24"/>
        </w:rPr>
        <w:t>A continuación, se describen brevemente algunas de las técnicas mencionadas:</w:t>
      </w:r>
    </w:p>
    <w:p w:rsidRPr="005B551E" w:rsidR="00F74934" w:rsidP="00F74934" w:rsidRDefault="00F74934" w14:paraId="50243521" w14:textId="77777777">
      <w:pPr>
        <w:spacing w:line="240" w:lineRule="auto"/>
        <w:ind w:left="426"/>
        <w:contextualSpacing/>
        <w:rPr>
          <w:rFonts w:asciiTheme="majorHAnsi" w:hAnsiTheme="majorHAnsi" w:cstheme="minorHAnsi"/>
          <w:i/>
          <w:iCs/>
          <w:sz w:val="24"/>
        </w:rPr>
      </w:pPr>
    </w:p>
    <w:p w:rsidRPr="005B551E" w:rsidR="00AA4ABF" w:rsidP="00F74934" w:rsidRDefault="00AA4ABF" w14:paraId="5397B9F2" w14:textId="77777777">
      <w:pPr>
        <w:pStyle w:val="Prrafodelista"/>
        <w:numPr>
          <w:ilvl w:val="0"/>
          <w:numId w:val="8"/>
        </w:numPr>
        <w:spacing w:after="160" w:line="240" w:lineRule="auto"/>
        <w:ind w:left="851" w:hanging="284"/>
        <w:jc w:val="both"/>
        <w:rPr>
          <w:rFonts w:asciiTheme="majorHAnsi" w:hAnsiTheme="majorHAnsi"/>
          <w:b/>
          <w:sz w:val="24"/>
          <w:szCs w:val="24"/>
        </w:rPr>
      </w:pPr>
      <w:r w:rsidRPr="005B551E">
        <w:rPr>
          <w:rFonts w:asciiTheme="majorHAnsi" w:hAnsiTheme="majorHAnsi" w:cstheme="minorHAnsi"/>
          <w:b/>
          <w:i/>
          <w:iCs/>
          <w:sz w:val="24"/>
          <w:szCs w:val="24"/>
        </w:rPr>
        <w:t xml:space="preserve">Análisis de indicadores financieros  </w:t>
      </w:r>
    </w:p>
    <w:p w:rsidRPr="005B551E" w:rsidR="00AA4ABF" w:rsidP="00F74934" w:rsidRDefault="00AA4ABF" w14:paraId="7EC56ACD"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Consiste en la evaluación de la situación financiera del deudor mediante el uso de indicadores financieros que miden diversos aspectos de su desempeño, por ejemplo, en las áreas de liquidez, actividad</w:t>
      </w:r>
      <w:r w:rsidRPr="005B551E">
        <w:rPr>
          <w:rFonts w:asciiTheme="majorHAnsi" w:hAnsiTheme="majorHAnsi" w:cstheme="minorHAnsi"/>
          <w:i/>
          <w:iCs/>
          <w:sz w:val="24"/>
          <w:szCs w:val="24"/>
          <w:vertAlign w:val="superscript"/>
        </w:rPr>
        <w:footnoteReference w:id="1"/>
      </w:r>
      <w:r w:rsidRPr="005B551E">
        <w:rPr>
          <w:rFonts w:asciiTheme="majorHAnsi" w:hAnsiTheme="majorHAnsi" w:cstheme="minorHAnsi"/>
          <w:i/>
          <w:iCs/>
          <w:sz w:val="24"/>
          <w:szCs w:val="24"/>
        </w:rPr>
        <w:t>, apalancamiento y rentabilidad.</w:t>
      </w:r>
    </w:p>
    <w:p w:rsidRPr="005B551E" w:rsidR="00AA4ABF" w:rsidP="00F74934" w:rsidRDefault="00AA4ABF" w14:paraId="769F3E45"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Con el propósito de que los indicadores financieros provean información útil para el análisis procede comparar los resultados actuales contra los históricos de la misma empresa, usualmente durante los últimos tres años de información disponible, o a partir de la constitución de la empresa, cuando ésta.</w:t>
      </w:r>
    </w:p>
    <w:p w:rsidRPr="005B551E" w:rsidR="00AA4ABF" w:rsidP="00F74934" w:rsidRDefault="00AA4ABF" w14:paraId="5624CA63" w14:textId="77777777">
      <w:pPr>
        <w:pStyle w:val="Prrafodelista"/>
        <w:spacing w:line="240" w:lineRule="auto"/>
        <w:ind w:left="567"/>
        <w:jc w:val="both"/>
        <w:rPr>
          <w:rFonts w:asciiTheme="majorHAnsi" w:hAnsiTheme="majorHAnsi" w:cstheme="minorHAnsi"/>
          <w:i/>
          <w:iCs/>
          <w:sz w:val="24"/>
          <w:szCs w:val="24"/>
        </w:rPr>
      </w:pPr>
    </w:p>
    <w:p w:rsidRPr="005B551E" w:rsidR="00AA4ABF" w:rsidP="00F74934" w:rsidRDefault="00AA4ABF" w14:paraId="5C751267"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 xml:space="preserve">Los indicadores financieros utilizados deben ser apropiados para la actividad económica del deudor. Por ejemplo, indicadores de actividad como la rotación o el periodo promedio de inventarios, cuentas por cobrar y cuentas por pagar son usuales en empresas comerciales, pero no en empresas financieras. Indicadores de desempeño como la tasa de ocupación o la productividad por hectárea, son usuales en los sectores hotelero y agrícola, respectivamente, pero no en otras actividades. Indicadores como canalización de recursos (activo productivo / pasivo con costo) y suficiencia patrimonial, son usuales para el sector de intermediarios financieros, pero no para otros sectores de la economía real.  </w:t>
      </w:r>
    </w:p>
    <w:p w:rsidRPr="005B551E" w:rsidR="00AA4ABF" w:rsidP="00F74934" w:rsidRDefault="00AA4ABF" w14:paraId="124FDC7A" w14:textId="77777777">
      <w:pPr>
        <w:pStyle w:val="Prrafodelista"/>
        <w:spacing w:line="240" w:lineRule="auto"/>
        <w:ind w:left="567"/>
        <w:jc w:val="both"/>
        <w:rPr>
          <w:rFonts w:asciiTheme="majorHAnsi" w:hAnsiTheme="majorHAnsi" w:cstheme="minorHAnsi"/>
          <w:i/>
          <w:iCs/>
          <w:sz w:val="24"/>
          <w:szCs w:val="24"/>
        </w:rPr>
      </w:pPr>
    </w:p>
    <w:p w:rsidRPr="005B551E" w:rsidR="00AA4ABF" w:rsidP="00F74934" w:rsidRDefault="00AA4ABF" w14:paraId="1CC9ECBE"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Finalmente, con base en el conocimiento de los negocios y el desempeño observado, la entidad puede establecer parámetros de referencia sobre lo que se considera un buen resultado para algunos indicadores financieros. Estos parámetros deben estar razonablemente determinados, según la actividad del deudor y la coyuntura económica, y constar en los procedimientos para el análisis de capacidad de pago.</w:t>
      </w:r>
    </w:p>
    <w:p w:rsidRPr="005B551E" w:rsidR="00AA4ABF" w:rsidP="00F74934" w:rsidRDefault="00AA4ABF" w14:paraId="098C0640" w14:textId="77777777">
      <w:pPr>
        <w:pStyle w:val="Prrafodelista"/>
        <w:spacing w:line="240" w:lineRule="auto"/>
        <w:ind w:left="567"/>
        <w:jc w:val="both"/>
        <w:rPr>
          <w:rFonts w:asciiTheme="majorHAnsi" w:hAnsiTheme="majorHAnsi" w:cstheme="minorHAnsi"/>
          <w:i/>
          <w:iCs/>
          <w:sz w:val="24"/>
          <w:szCs w:val="24"/>
        </w:rPr>
      </w:pPr>
    </w:p>
    <w:p w:rsidRPr="005B551E" w:rsidR="00AA4ABF" w:rsidP="00F74934" w:rsidRDefault="00AA4ABF" w14:paraId="5BD874D4" w14:textId="77777777">
      <w:pPr>
        <w:pStyle w:val="Prrafodelista"/>
        <w:numPr>
          <w:ilvl w:val="0"/>
          <w:numId w:val="8"/>
        </w:numPr>
        <w:spacing w:after="160" w:line="240" w:lineRule="auto"/>
        <w:ind w:left="851" w:hanging="284"/>
        <w:jc w:val="both"/>
        <w:rPr>
          <w:rFonts w:asciiTheme="majorHAnsi" w:hAnsiTheme="majorHAnsi"/>
          <w:b/>
          <w:sz w:val="24"/>
          <w:szCs w:val="24"/>
        </w:rPr>
      </w:pPr>
      <w:r w:rsidRPr="005B551E">
        <w:rPr>
          <w:rFonts w:asciiTheme="majorHAnsi" w:hAnsiTheme="majorHAnsi" w:cstheme="minorHAnsi"/>
          <w:b/>
          <w:i/>
          <w:iCs/>
          <w:sz w:val="24"/>
          <w:szCs w:val="24"/>
        </w:rPr>
        <w:t xml:space="preserve">Flujo de Caja Libre (FCL)  </w:t>
      </w:r>
    </w:p>
    <w:p w:rsidRPr="005B551E" w:rsidR="00AA4ABF" w:rsidP="00F74934" w:rsidRDefault="00AA4ABF" w14:paraId="1A06CFF8"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lastRenderedPageBreak/>
        <w:t xml:space="preserve">En el ámbito de las finanzas corporativas, suele emplearse la técnica del Flujo de Caja Libre (FCL). Este se define como el saldo disponible para pagar a los accionistas y para cubrir el servicio de la deuda (intereses de la deuda + principal de la deuda), después de restar las inversiones en activos fijos y las necesidades operativas de fondos.  </w:t>
      </w:r>
    </w:p>
    <w:p w:rsidRPr="005B551E" w:rsidR="00AA4ABF" w:rsidP="00F74934" w:rsidRDefault="00AA4ABF" w14:paraId="1265269A" w14:textId="77777777">
      <w:pPr>
        <w:pStyle w:val="Prrafodelista"/>
        <w:spacing w:line="240" w:lineRule="auto"/>
        <w:ind w:left="567"/>
        <w:jc w:val="both"/>
        <w:rPr>
          <w:rFonts w:asciiTheme="majorHAnsi" w:hAnsiTheme="majorHAnsi" w:cstheme="minorHAnsi"/>
          <w:i/>
          <w:iCs/>
          <w:sz w:val="24"/>
          <w:szCs w:val="24"/>
        </w:rPr>
      </w:pPr>
    </w:p>
    <w:p w:rsidRPr="005B551E" w:rsidR="00AA4ABF" w:rsidP="00F74934" w:rsidRDefault="00AA4ABF" w14:paraId="4D869CB0"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En el caso de financiamiento de proyectos, la estructuración del financiamiento debe guardar relación con la estructura de ingresos proyectada. En algunos proyectos la generación de flujos puede encontrarse en etapas avanzadas, mientras que los costos pueden concentrarse en las etapas iniciales. El análisis puede complementarse con técnicas de descuento de flujos de caja u otras métricas o parámetros. El nivel y rango crítico para estos indicadores será determinado por la entidad financiera, en congruencia con el riesgo aceptable definido en sus políticas de otorgamiento de crédito, y tomando en consideración la naturaleza del deudor, su entorno económico y empresarial, el riesgo inherente al tipo de proyecto de que se trate, y otros atributos del deudor y el proyecto que la entidad considere relevantes.</w:t>
      </w:r>
    </w:p>
    <w:p w:rsidRPr="005B551E" w:rsidR="00AA4ABF" w:rsidP="00F74934" w:rsidRDefault="00AA4ABF" w14:paraId="4035F55D" w14:textId="77777777">
      <w:pPr>
        <w:pStyle w:val="Prrafodelista"/>
        <w:spacing w:line="240" w:lineRule="auto"/>
        <w:ind w:left="567"/>
        <w:jc w:val="both"/>
        <w:rPr>
          <w:rFonts w:asciiTheme="majorHAnsi" w:hAnsiTheme="majorHAnsi" w:cstheme="minorHAnsi"/>
          <w:b/>
          <w:i/>
          <w:iCs/>
          <w:sz w:val="24"/>
          <w:szCs w:val="24"/>
        </w:rPr>
      </w:pPr>
    </w:p>
    <w:p w:rsidRPr="005B551E" w:rsidR="00AA4ABF" w:rsidP="00F74934" w:rsidRDefault="00AA4ABF" w14:paraId="7112BA10" w14:textId="77777777">
      <w:pPr>
        <w:pStyle w:val="Prrafodelista"/>
        <w:numPr>
          <w:ilvl w:val="0"/>
          <w:numId w:val="8"/>
        </w:numPr>
        <w:spacing w:after="160" w:line="240" w:lineRule="auto"/>
        <w:ind w:left="851" w:hanging="284"/>
        <w:jc w:val="both"/>
        <w:rPr>
          <w:rFonts w:asciiTheme="majorHAnsi" w:hAnsiTheme="majorHAnsi" w:cstheme="minorHAnsi"/>
          <w:b/>
          <w:i/>
          <w:iCs/>
          <w:sz w:val="24"/>
          <w:szCs w:val="24"/>
        </w:rPr>
      </w:pPr>
      <w:r w:rsidRPr="005B551E">
        <w:rPr>
          <w:rFonts w:asciiTheme="majorHAnsi" w:hAnsiTheme="majorHAnsi" w:cstheme="minorHAnsi"/>
          <w:b/>
          <w:i/>
          <w:iCs/>
          <w:sz w:val="24"/>
          <w:szCs w:val="24"/>
        </w:rPr>
        <w:t>Proyección de información financiera</w:t>
      </w:r>
    </w:p>
    <w:p w:rsidRPr="005B551E" w:rsidR="00AA4ABF" w:rsidP="00F74934" w:rsidRDefault="00AA4ABF" w14:paraId="7678EA60"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En caso de usarse la proyección de información financiera, los supuestos utilizados deben estar claramente establecidos, estar debidamente sustentados y ser consistentes con el comportamiento histórico del deudor. El uso de supuestos que se aparten significativamente del comportamiento histórico debe justificarse técnicamente.</w:t>
      </w:r>
    </w:p>
    <w:p w:rsidRPr="005B551E" w:rsidR="00AA4ABF" w:rsidP="00F74934" w:rsidRDefault="00AA4ABF" w14:paraId="17C45ABD"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Asimismo, debe considerarse el comportamiento de la actividad económica (</w:t>
      </w:r>
      <w:proofErr w:type="spellStart"/>
      <w:r w:rsidRPr="005B551E">
        <w:rPr>
          <w:rFonts w:asciiTheme="majorHAnsi" w:hAnsiTheme="majorHAnsi" w:cstheme="minorHAnsi"/>
          <w:i/>
          <w:iCs/>
          <w:sz w:val="24"/>
          <w:szCs w:val="24"/>
        </w:rPr>
        <w:t>p.e</w:t>
      </w:r>
      <w:proofErr w:type="spellEnd"/>
      <w:r w:rsidRPr="005B551E">
        <w:rPr>
          <w:rFonts w:asciiTheme="majorHAnsi" w:hAnsiTheme="majorHAnsi" w:cstheme="minorHAnsi"/>
          <w:i/>
          <w:iCs/>
          <w:sz w:val="24"/>
          <w:szCs w:val="24"/>
        </w:rPr>
        <w:t>. ciclos productivos), las variables macroeconómicas relevantes (</w:t>
      </w:r>
      <w:proofErr w:type="spellStart"/>
      <w:r w:rsidRPr="005B551E">
        <w:rPr>
          <w:rFonts w:asciiTheme="majorHAnsi" w:hAnsiTheme="majorHAnsi" w:cstheme="minorHAnsi"/>
          <w:i/>
          <w:iCs/>
          <w:sz w:val="24"/>
          <w:szCs w:val="24"/>
        </w:rPr>
        <w:t>p.e</w:t>
      </w:r>
      <w:proofErr w:type="spellEnd"/>
      <w:r w:rsidRPr="005B551E">
        <w:rPr>
          <w:rFonts w:asciiTheme="majorHAnsi" w:hAnsiTheme="majorHAnsi" w:cstheme="minorHAnsi"/>
          <w:i/>
          <w:iCs/>
          <w:sz w:val="24"/>
          <w:szCs w:val="24"/>
        </w:rPr>
        <w:t>. tasa de interés, tipo de cambio, inflación) y las tendencias esperadas de la actividad (</w:t>
      </w:r>
      <w:proofErr w:type="spellStart"/>
      <w:r w:rsidRPr="005B551E">
        <w:rPr>
          <w:rFonts w:asciiTheme="majorHAnsi" w:hAnsiTheme="majorHAnsi" w:cstheme="minorHAnsi"/>
          <w:i/>
          <w:iCs/>
          <w:sz w:val="24"/>
          <w:szCs w:val="24"/>
        </w:rPr>
        <w:t>p.e</w:t>
      </w:r>
      <w:proofErr w:type="spellEnd"/>
      <w:r w:rsidRPr="005B551E">
        <w:rPr>
          <w:rFonts w:asciiTheme="majorHAnsi" w:hAnsiTheme="majorHAnsi" w:cstheme="minorHAnsi"/>
          <w:i/>
          <w:iCs/>
          <w:sz w:val="24"/>
          <w:szCs w:val="24"/>
        </w:rPr>
        <w:t>. precios, demanda, costos).</w:t>
      </w:r>
    </w:p>
    <w:p w:rsidRPr="005B551E" w:rsidR="00AA4ABF" w:rsidP="00F74934" w:rsidRDefault="00AA4ABF" w14:paraId="62D9D3DC" w14:textId="77777777">
      <w:pPr>
        <w:pStyle w:val="Prrafodelista"/>
        <w:spacing w:line="240" w:lineRule="auto"/>
        <w:ind w:left="567"/>
        <w:jc w:val="both"/>
        <w:rPr>
          <w:rFonts w:asciiTheme="majorHAnsi" w:hAnsiTheme="majorHAnsi" w:cstheme="minorHAnsi"/>
          <w:i/>
          <w:iCs/>
          <w:sz w:val="24"/>
          <w:szCs w:val="24"/>
        </w:rPr>
      </w:pPr>
    </w:p>
    <w:p w:rsidRPr="005B551E" w:rsidR="00AA4ABF" w:rsidP="00F74934" w:rsidRDefault="00AA4ABF" w14:paraId="59A17889" w14:textId="77777777">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Usualmente el horizonte para la proyección es de 12 meses, sin embargo, la necesidad de contar con un pronóstico para tramos temporales más cortos (trimestres, meses, etc.) o para un mayor número de años, dependerá de la naturaleza del proyecto y de la estructuración del crédito. Adicionalmente, pueden considerarse plazos mayores, apropiados a los términos contractuales originales o modificados.</w:t>
      </w:r>
    </w:p>
    <w:p w:rsidRPr="005B551E" w:rsidR="00AA4ABF" w:rsidP="00F74934" w:rsidRDefault="00AA4ABF" w14:paraId="229A02E7" w14:textId="77777777">
      <w:pPr>
        <w:pStyle w:val="Prrafodelista"/>
        <w:spacing w:line="240" w:lineRule="auto"/>
        <w:ind w:left="567"/>
        <w:jc w:val="both"/>
        <w:rPr>
          <w:rFonts w:asciiTheme="majorHAnsi" w:hAnsiTheme="majorHAnsi" w:cstheme="minorHAnsi"/>
          <w:i/>
          <w:iCs/>
          <w:sz w:val="24"/>
          <w:szCs w:val="24"/>
        </w:rPr>
      </w:pPr>
    </w:p>
    <w:p w:rsidRPr="005B551E" w:rsidR="00AA4ABF" w:rsidP="00F74934" w:rsidRDefault="00AA4ABF" w14:paraId="096E1750" w14:textId="1AF43A5F">
      <w:pPr>
        <w:pStyle w:val="Prrafodelista"/>
        <w:spacing w:line="240" w:lineRule="auto"/>
        <w:ind w:left="567"/>
        <w:jc w:val="both"/>
        <w:rPr>
          <w:rFonts w:asciiTheme="majorHAnsi" w:hAnsiTheme="majorHAnsi" w:cstheme="minorHAnsi"/>
          <w:i/>
          <w:iCs/>
          <w:sz w:val="24"/>
          <w:szCs w:val="24"/>
        </w:rPr>
      </w:pPr>
      <w:r w:rsidRPr="005B551E">
        <w:rPr>
          <w:rFonts w:asciiTheme="majorHAnsi" w:hAnsiTheme="majorHAnsi" w:cstheme="minorHAnsi"/>
          <w:i/>
          <w:iCs/>
          <w:sz w:val="24"/>
          <w:szCs w:val="24"/>
        </w:rPr>
        <w:t xml:space="preserve">Algunas consideraciones particulares son las siguientes:  </w:t>
      </w:r>
    </w:p>
    <w:p w:rsidRPr="005B551E" w:rsidR="00F74934" w:rsidP="00F74934" w:rsidRDefault="00F74934" w14:paraId="26700835" w14:textId="77777777">
      <w:pPr>
        <w:pStyle w:val="Prrafodelista"/>
        <w:spacing w:line="240" w:lineRule="auto"/>
        <w:ind w:left="567"/>
        <w:jc w:val="both"/>
        <w:rPr>
          <w:rFonts w:asciiTheme="majorHAnsi" w:hAnsiTheme="majorHAnsi" w:cstheme="minorHAnsi"/>
          <w:i/>
          <w:iCs/>
          <w:sz w:val="24"/>
          <w:szCs w:val="24"/>
        </w:rPr>
      </w:pPr>
    </w:p>
    <w:p w:rsidRPr="005B551E" w:rsidR="00AA4ABF" w:rsidP="00F74934" w:rsidRDefault="00AA4ABF" w14:paraId="5F80FECD" w14:textId="77777777">
      <w:pPr>
        <w:pStyle w:val="Prrafodelista"/>
        <w:numPr>
          <w:ilvl w:val="0"/>
          <w:numId w:val="9"/>
        </w:numPr>
        <w:spacing w:after="160" w:line="240" w:lineRule="auto"/>
        <w:ind w:left="851" w:hanging="142"/>
        <w:jc w:val="both"/>
        <w:rPr>
          <w:rFonts w:asciiTheme="majorHAnsi" w:hAnsiTheme="majorHAnsi" w:cstheme="minorHAnsi"/>
          <w:i/>
          <w:iCs/>
          <w:sz w:val="24"/>
          <w:szCs w:val="24"/>
        </w:rPr>
      </w:pPr>
      <w:r w:rsidRPr="005B551E">
        <w:rPr>
          <w:rFonts w:asciiTheme="majorHAnsi" w:hAnsiTheme="majorHAnsi" w:cstheme="minorHAnsi"/>
          <w:i/>
          <w:iCs/>
          <w:sz w:val="24"/>
          <w:szCs w:val="24"/>
        </w:rPr>
        <w:t xml:space="preserve">El FCL debe incluir el servicio de todas las obligaciones financieras (intereses de la deuda + principal de la deuda) actuales del deudor, tanto con el Sistema Financiero Nacional como con otras fuentes, así como las nuevas obligaciones bajo estudio, de acuerdo con los requerimientos de la misma proyección de </w:t>
      </w:r>
      <w:r w:rsidRPr="005B551E">
        <w:rPr>
          <w:rFonts w:asciiTheme="majorHAnsi" w:hAnsiTheme="majorHAnsi" w:cstheme="minorHAnsi"/>
          <w:i/>
          <w:iCs/>
          <w:sz w:val="24"/>
          <w:szCs w:val="24"/>
        </w:rPr>
        <w:lastRenderedPageBreak/>
        <w:t>fondos. Las líneas de crédito aprobadas y no desembolsadas pueden incluirse en el FCL proyectado, cuando exista evidencia sobre la certeza de su uso en caso de ser necesario.</w:t>
      </w:r>
    </w:p>
    <w:p w:rsidRPr="005B551E" w:rsidR="00AA4ABF" w:rsidP="00F74934" w:rsidRDefault="00AA4ABF" w14:paraId="72BBD4CA" w14:textId="77777777">
      <w:pPr>
        <w:pStyle w:val="Prrafodelista"/>
        <w:spacing w:line="240" w:lineRule="auto"/>
        <w:ind w:left="851"/>
        <w:jc w:val="both"/>
        <w:rPr>
          <w:rFonts w:asciiTheme="majorHAnsi" w:hAnsiTheme="majorHAnsi" w:cstheme="minorHAnsi"/>
          <w:i/>
          <w:iCs/>
          <w:sz w:val="24"/>
          <w:szCs w:val="24"/>
        </w:rPr>
      </w:pPr>
    </w:p>
    <w:p w:rsidRPr="005B551E" w:rsidR="00AA4ABF" w:rsidP="00F74934" w:rsidRDefault="00AA4ABF" w14:paraId="2ADF2CD0" w14:textId="77777777">
      <w:pPr>
        <w:pStyle w:val="Prrafodelista"/>
        <w:numPr>
          <w:ilvl w:val="0"/>
          <w:numId w:val="9"/>
        </w:numPr>
        <w:spacing w:after="160" w:line="240" w:lineRule="auto"/>
        <w:ind w:left="851" w:hanging="142"/>
        <w:jc w:val="both"/>
        <w:rPr>
          <w:rFonts w:asciiTheme="majorHAnsi" w:hAnsiTheme="majorHAnsi" w:cstheme="minorHAnsi"/>
          <w:i/>
          <w:iCs/>
          <w:sz w:val="24"/>
          <w:szCs w:val="24"/>
        </w:rPr>
      </w:pPr>
      <w:r w:rsidRPr="005B551E">
        <w:rPr>
          <w:rFonts w:asciiTheme="majorHAnsi" w:hAnsiTheme="majorHAnsi" w:cstheme="minorHAnsi"/>
          <w:i/>
          <w:iCs/>
          <w:sz w:val="24"/>
          <w:szCs w:val="24"/>
        </w:rPr>
        <w:t>Con el propósito de analizar la estabilidad del FCL, en la proyección debe prescindirse de ingresos o gastos que se consideren no recurrentes. Sin embargo, con el propósito de anticipar afectaciones de corto plazo en el FCL proyectado, pueden considerarse ingresos o gastos no recurrentes que con certeza sucederán durante el plazo de la proyección.</w:t>
      </w:r>
    </w:p>
    <w:p w:rsidRPr="005B551E" w:rsidR="00AA4ABF" w:rsidP="00F74934" w:rsidRDefault="00AA4ABF" w14:paraId="4EC702E6" w14:textId="77777777">
      <w:pPr>
        <w:pStyle w:val="Prrafodelista"/>
        <w:spacing w:line="240" w:lineRule="auto"/>
        <w:rPr>
          <w:rFonts w:asciiTheme="majorHAnsi" w:hAnsiTheme="majorHAnsi" w:cstheme="minorHAnsi"/>
          <w:i/>
          <w:iCs/>
          <w:sz w:val="24"/>
          <w:szCs w:val="24"/>
        </w:rPr>
      </w:pPr>
    </w:p>
    <w:p w:rsidRPr="005B551E" w:rsidR="00AA4ABF" w:rsidP="00F74934" w:rsidRDefault="00AA4ABF" w14:paraId="43C71B81" w14:textId="77777777">
      <w:pPr>
        <w:pStyle w:val="Prrafodelista"/>
        <w:numPr>
          <w:ilvl w:val="0"/>
          <w:numId w:val="7"/>
        </w:numPr>
        <w:spacing w:after="160" w:line="240" w:lineRule="auto"/>
        <w:ind w:left="709" w:hanging="283"/>
        <w:jc w:val="both"/>
        <w:rPr>
          <w:rFonts w:asciiTheme="majorHAnsi" w:hAnsiTheme="majorHAnsi" w:cstheme="minorHAnsi"/>
          <w:i/>
          <w:iCs/>
          <w:sz w:val="24"/>
          <w:szCs w:val="24"/>
        </w:rPr>
      </w:pPr>
      <w:r w:rsidRPr="005B551E">
        <w:rPr>
          <w:rFonts w:asciiTheme="majorHAnsi" w:hAnsiTheme="majorHAnsi" w:cstheme="minorHAnsi"/>
          <w:b/>
          <w:i/>
          <w:iCs/>
          <w:sz w:val="24"/>
          <w:szCs w:val="24"/>
        </w:rPr>
        <w:t>Valoración cualitativa</w:t>
      </w:r>
    </w:p>
    <w:p w:rsidRPr="005B551E" w:rsidR="00AA4ABF" w:rsidP="00F74934" w:rsidRDefault="00AA4ABF" w14:paraId="4876F78F" w14:textId="77777777">
      <w:pPr>
        <w:spacing w:line="240" w:lineRule="auto"/>
        <w:ind w:left="426"/>
        <w:contextualSpacing/>
        <w:rPr>
          <w:rFonts w:asciiTheme="majorHAnsi" w:hAnsiTheme="majorHAnsi" w:cstheme="minorHAnsi"/>
          <w:i/>
          <w:iCs/>
          <w:sz w:val="24"/>
        </w:rPr>
      </w:pPr>
      <w:r w:rsidRPr="005B551E">
        <w:rPr>
          <w:rFonts w:asciiTheme="majorHAnsi" w:hAnsiTheme="majorHAnsi" w:cstheme="minorHAnsi"/>
          <w:i/>
          <w:iCs/>
          <w:sz w:val="24"/>
        </w:rPr>
        <w:t xml:space="preserve">El análisis consiste en determinar la capacidad de la alta gerencia del deudor para conducir el negocio, por ejemplo, mostrando un comportamiento histórico del negocio congruente con el buen desempeño de otras empresas de la misma industria o sector económico. Usualmente se considera información sobre la experiencia en el giro del negocio y la calidad de la administración. </w:t>
      </w:r>
    </w:p>
    <w:p w:rsidRPr="005B551E" w:rsidR="00AA4ABF" w:rsidP="00F74934" w:rsidRDefault="00AA4ABF" w14:paraId="1703FEAC" w14:textId="77777777">
      <w:pPr>
        <w:spacing w:line="240" w:lineRule="auto"/>
        <w:ind w:left="426"/>
        <w:contextualSpacing/>
        <w:rPr>
          <w:rFonts w:asciiTheme="majorHAnsi" w:hAnsiTheme="majorHAnsi" w:cstheme="minorHAnsi"/>
          <w:i/>
          <w:iCs/>
          <w:sz w:val="24"/>
        </w:rPr>
      </w:pPr>
      <w:r w:rsidRPr="005B551E">
        <w:rPr>
          <w:rFonts w:asciiTheme="majorHAnsi" w:hAnsiTheme="majorHAnsi" w:cstheme="minorHAnsi"/>
          <w:i/>
          <w:iCs/>
          <w:sz w:val="24"/>
        </w:rPr>
        <w:t>Entre los aspectos a evaluar suelen considerarse, al menos, los siguientes:</w:t>
      </w:r>
    </w:p>
    <w:p w:rsidRPr="005B551E" w:rsidR="00AA4ABF" w:rsidP="00F74934" w:rsidRDefault="00AA4ABF" w14:paraId="0F4DB82C" w14:textId="77777777">
      <w:pPr>
        <w:pStyle w:val="Prrafodelista"/>
        <w:numPr>
          <w:ilvl w:val="0"/>
          <w:numId w:val="10"/>
        </w:numPr>
        <w:spacing w:after="160" w:line="240" w:lineRule="auto"/>
        <w:jc w:val="both"/>
        <w:rPr>
          <w:rFonts w:asciiTheme="majorHAnsi" w:hAnsiTheme="majorHAnsi" w:cstheme="minorHAnsi"/>
          <w:i/>
          <w:iCs/>
          <w:sz w:val="24"/>
          <w:szCs w:val="24"/>
        </w:rPr>
      </w:pPr>
      <w:r w:rsidRPr="005B551E">
        <w:rPr>
          <w:rFonts w:asciiTheme="majorHAnsi" w:hAnsiTheme="majorHAnsi" w:cstheme="minorHAnsi"/>
          <w:i/>
          <w:iCs/>
          <w:sz w:val="24"/>
          <w:szCs w:val="24"/>
        </w:rPr>
        <w:t>Respecto al personal clave del negocio: años de experiencia en la actividad, formación profesional y plan de sucesión;</w:t>
      </w:r>
    </w:p>
    <w:p w:rsidRPr="005B551E" w:rsidR="00AA4ABF" w:rsidP="00F74934" w:rsidRDefault="00AA4ABF" w14:paraId="339F1F7D" w14:textId="77777777">
      <w:pPr>
        <w:pStyle w:val="Prrafodelista"/>
        <w:numPr>
          <w:ilvl w:val="0"/>
          <w:numId w:val="10"/>
        </w:numPr>
        <w:spacing w:after="160" w:line="240" w:lineRule="auto"/>
        <w:jc w:val="both"/>
        <w:rPr>
          <w:rFonts w:asciiTheme="majorHAnsi" w:hAnsiTheme="majorHAnsi" w:cstheme="minorHAnsi"/>
          <w:i/>
          <w:iCs/>
          <w:sz w:val="24"/>
          <w:szCs w:val="24"/>
        </w:rPr>
      </w:pPr>
      <w:r w:rsidRPr="005B551E">
        <w:rPr>
          <w:rFonts w:asciiTheme="majorHAnsi" w:hAnsiTheme="majorHAnsi" w:cstheme="minorHAnsi"/>
          <w:i/>
          <w:iCs/>
          <w:sz w:val="24"/>
          <w:szCs w:val="24"/>
        </w:rPr>
        <w:t>Años de trayectoria del negocio en la actividad;</w:t>
      </w:r>
    </w:p>
    <w:p w:rsidRPr="005B551E" w:rsidR="00AA4ABF" w:rsidP="00F74934" w:rsidRDefault="00AA4ABF" w14:paraId="7A87DE64" w14:textId="77777777">
      <w:pPr>
        <w:pStyle w:val="Prrafodelista"/>
        <w:numPr>
          <w:ilvl w:val="0"/>
          <w:numId w:val="10"/>
        </w:numPr>
        <w:spacing w:after="160" w:line="240" w:lineRule="auto"/>
        <w:jc w:val="both"/>
        <w:rPr>
          <w:rFonts w:asciiTheme="majorHAnsi" w:hAnsiTheme="majorHAnsi" w:cstheme="minorHAnsi"/>
          <w:i/>
          <w:iCs/>
          <w:sz w:val="24"/>
          <w:szCs w:val="24"/>
        </w:rPr>
      </w:pPr>
      <w:r w:rsidRPr="005B551E">
        <w:rPr>
          <w:rFonts w:asciiTheme="majorHAnsi" w:hAnsiTheme="majorHAnsi" w:cstheme="minorHAnsi"/>
          <w:i/>
          <w:iCs/>
          <w:sz w:val="24"/>
          <w:szCs w:val="24"/>
        </w:rPr>
        <w:t>Experiencia de éxito en el desempeño de la actividad;</w:t>
      </w:r>
    </w:p>
    <w:p w:rsidRPr="005B551E" w:rsidR="00AA4ABF" w:rsidP="00F74934" w:rsidRDefault="00AA4ABF" w14:paraId="496B9651" w14:textId="77777777">
      <w:pPr>
        <w:pStyle w:val="Prrafodelista"/>
        <w:numPr>
          <w:ilvl w:val="0"/>
          <w:numId w:val="10"/>
        </w:numPr>
        <w:spacing w:after="160" w:line="240" w:lineRule="auto"/>
        <w:jc w:val="both"/>
        <w:rPr>
          <w:rFonts w:asciiTheme="majorHAnsi" w:hAnsiTheme="majorHAnsi" w:cstheme="minorHAnsi"/>
          <w:i/>
          <w:iCs/>
          <w:sz w:val="24"/>
          <w:szCs w:val="24"/>
        </w:rPr>
      </w:pPr>
      <w:r w:rsidRPr="005B551E">
        <w:rPr>
          <w:rFonts w:asciiTheme="majorHAnsi" w:hAnsiTheme="majorHAnsi" w:cstheme="minorHAnsi"/>
          <w:i/>
          <w:iCs/>
          <w:sz w:val="24"/>
          <w:szCs w:val="24"/>
        </w:rPr>
        <w:t>Otros aspectos como la concentración de clientes y proveedores.</w:t>
      </w:r>
    </w:p>
    <w:p w:rsidRPr="005B551E" w:rsidR="00AA4ABF" w:rsidP="00F74934" w:rsidRDefault="00AA4ABF" w14:paraId="3F728229" w14:textId="77777777">
      <w:pPr>
        <w:pStyle w:val="Prrafodelista"/>
        <w:spacing w:line="240" w:lineRule="auto"/>
        <w:ind w:left="928"/>
        <w:jc w:val="both"/>
        <w:rPr>
          <w:rFonts w:asciiTheme="majorHAnsi" w:hAnsiTheme="majorHAnsi" w:cstheme="minorHAnsi"/>
          <w:i/>
          <w:iCs/>
          <w:sz w:val="24"/>
          <w:szCs w:val="24"/>
        </w:rPr>
      </w:pPr>
    </w:p>
    <w:p w:rsidRPr="005B551E" w:rsidR="00AA4ABF" w:rsidP="00F74934" w:rsidRDefault="00AA4ABF" w14:paraId="3DD60E6D" w14:textId="77777777">
      <w:pPr>
        <w:pStyle w:val="Prrafodelista"/>
        <w:numPr>
          <w:ilvl w:val="0"/>
          <w:numId w:val="7"/>
        </w:numPr>
        <w:spacing w:after="160" w:line="240" w:lineRule="auto"/>
        <w:ind w:left="709" w:hanging="283"/>
        <w:jc w:val="both"/>
        <w:rPr>
          <w:rFonts w:asciiTheme="majorHAnsi" w:hAnsiTheme="majorHAnsi" w:cstheme="minorHAnsi"/>
          <w:b/>
          <w:i/>
          <w:iCs/>
          <w:sz w:val="24"/>
          <w:szCs w:val="24"/>
        </w:rPr>
      </w:pPr>
      <w:r w:rsidRPr="005B551E">
        <w:rPr>
          <w:rFonts w:asciiTheme="majorHAnsi" w:hAnsiTheme="majorHAnsi" w:cstheme="minorHAnsi"/>
          <w:b/>
          <w:i/>
          <w:iCs/>
          <w:sz w:val="24"/>
          <w:szCs w:val="24"/>
        </w:rPr>
        <w:t>Contexto sectorial</w:t>
      </w:r>
    </w:p>
    <w:p w:rsidRPr="005B551E" w:rsidR="00AA4ABF" w:rsidP="00F74934" w:rsidRDefault="00AA4ABF" w14:paraId="57F43FF7" w14:textId="77777777">
      <w:pPr>
        <w:spacing w:line="240" w:lineRule="auto"/>
        <w:ind w:left="426"/>
        <w:contextualSpacing/>
        <w:rPr>
          <w:rFonts w:asciiTheme="majorHAnsi" w:hAnsiTheme="majorHAnsi" w:cstheme="minorHAnsi"/>
          <w:i/>
          <w:iCs/>
          <w:sz w:val="24"/>
        </w:rPr>
      </w:pPr>
      <w:r w:rsidRPr="005B551E">
        <w:rPr>
          <w:rFonts w:asciiTheme="majorHAnsi" w:hAnsiTheme="majorHAnsi" w:cstheme="minorHAnsi"/>
          <w:i/>
          <w:iCs/>
          <w:sz w:val="24"/>
        </w:rPr>
        <w:t>El análisis consiste en identificar las principales variables del sector que pueden afectar la capacidad de pago futura del deudor, y establecer consideraciones sobre el desempeño esperado de esas variables, tomando en cuenta los riesgos a los que está expuesto el deudor.</w:t>
      </w:r>
    </w:p>
    <w:p w:rsidRPr="005B551E" w:rsidR="00AA4ABF" w:rsidP="00F74934" w:rsidRDefault="00AA4ABF" w14:paraId="5046D4CD" w14:textId="0C81BF7C">
      <w:pPr>
        <w:spacing w:line="240" w:lineRule="auto"/>
        <w:ind w:left="426"/>
        <w:contextualSpacing/>
        <w:rPr>
          <w:rFonts w:asciiTheme="majorHAnsi" w:hAnsiTheme="majorHAnsi" w:cstheme="minorHAnsi"/>
          <w:i/>
          <w:iCs/>
          <w:sz w:val="24"/>
        </w:rPr>
      </w:pPr>
      <w:r w:rsidRPr="005B551E">
        <w:rPr>
          <w:rFonts w:asciiTheme="majorHAnsi" w:hAnsiTheme="majorHAnsi" w:cstheme="minorHAnsi"/>
          <w:i/>
          <w:iCs/>
          <w:sz w:val="24"/>
        </w:rPr>
        <w:t>Las variables relevantes están en función del sector específico dentro del cual el deudor desarrolla sus negocios. Las fuentes de información sobre los sectores provienen generalmente de los mismos deudores, aunque las entidades supervisadas pueden realizar estudios específicos o acudir a otras fuentes como las cámaras sectoriales.</w:t>
      </w:r>
    </w:p>
    <w:p w:rsidRPr="005B551E" w:rsidR="00AA4ABF" w:rsidP="00F74934" w:rsidRDefault="00AA4ABF" w14:paraId="689BA17B" w14:textId="77777777">
      <w:pPr>
        <w:spacing w:line="240" w:lineRule="auto"/>
        <w:ind w:left="426"/>
        <w:contextualSpacing/>
        <w:rPr>
          <w:rFonts w:asciiTheme="majorHAnsi" w:hAnsiTheme="majorHAnsi" w:cstheme="minorHAnsi"/>
          <w:i/>
          <w:iCs/>
          <w:sz w:val="24"/>
        </w:rPr>
      </w:pPr>
    </w:p>
    <w:p w:rsidRPr="005B551E" w:rsidR="00AA4ABF" w:rsidP="00F74934" w:rsidRDefault="00AA4ABF" w14:paraId="485E8FCB" w14:textId="77777777">
      <w:pPr>
        <w:pStyle w:val="Prrafodelista"/>
        <w:numPr>
          <w:ilvl w:val="0"/>
          <w:numId w:val="6"/>
        </w:numPr>
        <w:spacing w:after="160" w:line="240" w:lineRule="auto"/>
        <w:ind w:left="567" w:hanging="283"/>
        <w:jc w:val="both"/>
        <w:rPr>
          <w:rFonts w:asciiTheme="majorHAnsi" w:hAnsiTheme="majorHAnsi" w:cstheme="minorHAnsi"/>
          <w:i/>
          <w:iCs/>
          <w:sz w:val="24"/>
          <w:szCs w:val="24"/>
        </w:rPr>
      </w:pPr>
      <w:r w:rsidRPr="005B551E">
        <w:rPr>
          <w:rFonts w:asciiTheme="majorHAnsi" w:hAnsiTheme="majorHAnsi" w:cstheme="minorHAnsi"/>
          <w:b/>
          <w:i/>
          <w:iCs/>
          <w:sz w:val="24"/>
          <w:szCs w:val="24"/>
        </w:rPr>
        <w:t>ANÁLISIS DE LA CAPACIDAD DE PAGO DE UNA INSTITUCIÓN DEL SECTOR PÚBLICO COSTARRICENSE</w:t>
      </w:r>
    </w:p>
    <w:p w:rsidRPr="005B551E" w:rsidR="00AA4ABF" w:rsidP="00F74934" w:rsidRDefault="00AA4ABF" w14:paraId="6EBF37FC" w14:textId="358ED6AF">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Tratándose de instituciones del sector público costarricense, éstas no se eximen de las disposiciones establecidas en el Reglamento sobre Cálculo de Estimaciones Crediticias y estos Lineamientos Generales, de manera que dichas disposiciones les son igualmente aplicables.</w:t>
      </w:r>
    </w:p>
    <w:p w:rsidRPr="005B551E" w:rsidR="00AA4ABF" w:rsidP="00F74934" w:rsidRDefault="00AA4ABF" w14:paraId="43CEB9BC" w14:textId="77777777">
      <w:pPr>
        <w:spacing w:line="240" w:lineRule="auto"/>
        <w:ind w:left="284"/>
        <w:contextualSpacing/>
        <w:rPr>
          <w:rFonts w:asciiTheme="majorHAnsi" w:hAnsiTheme="majorHAnsi" w:cstheme="minorHAnsi"/>
          <w:i/>
          <w:iCs/>
          <w:sz w:val="24"/>
        </w:rPr>
      </w:pPr>
    </w:p>
    <w:p w:rsidRPr="005B551E" w:rsidR="00AA4ABF" w:rsidP="00F74934" w:rsidRDefault="00AA4ABF" w14:paraId="38D3A533" w14:textId="77777777">
      <w:pPr>
        <w:pStyle w:val="Prrafodelista"/>
        <w:numPr>
          <w:ilvl w:val="0"/>
          <w:numId w:val="6"/>
        </w:numPr>
        <w:spacing w:after="160" w:line="240" w:lineRule="auto"/>
        <w:ind w:left="567" w:hanging="283"/>
        <w:jc w:val="both"/>
        <w:rPr>
          <w:rFonts w:asciiTheme="majorHAnsi" w:hAnsiTheme="majorHAnsi" w:cstheme="minorHAnsi"/>
          <w:i/>
          <w:iCs/>
          <w:sz w:val="24"/>
          <w:szCs w:val="24"/>
        </w:rPr>
      </w:pPr>
      <w:r w:rsidRPr="005B551E">
        <w:rPr>
          <w:rFonts w:asciiTheme="majorHAnsi" w:hAnsiTheme="majorHAnsi" w:cstheme="minorHAnsi"/>
          <w:b/>
          <w:i/>
          <w:iCs/>
          <w:sz w:val="24"/>
          <w:szCs w:val="24"/>
        </w:rPr>
        <w:t>METODOLOGÍAS INTERNAS PARA EL ANÁLISIS DE CAPACIDAD DE PAGO</w:t>
      </w:r>
    </w:p>
    <w:p w:rsidRPr="005B551E" w:rsidR="00AA4ABF" w:rsidP="00F74934" w:rsidRDefault="00AA4ABF" w14:paraId="2A7569AC" w14:textId="77777777">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En el marco de las disposiciones establecidas de manera general sobre gobierno corporativo y administración de riesgos, y de manera específica en el “Reglamento sobre Cálculo de Estimaciones Crediticias” y estos Lineamientos, las entidades deben establecer los aspectos y criterios que considerarán para el análisis de la capacidad de pago sus deudores. Dichos aspectos y criterios deben constar en las políticas y procedimientos de la entidad, debidamente aprobados por sus órganos de dirección.</w:t>
      </w:r>
    </w:p>
    <w:p w:rsidRPr="005B551E" w:rsidR="00AA4ABF" w:rsidP="00F74934" w:rsidRDefault="00AA4ABF" w14:paraId="7563C4A5" w14:textId="32F7ADD9">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La entidad podrá contar internamente con la escala de niveles de calificación de capacidad de pago que estime conveniente de acuerdo con su política crediticia.</w:t>
      </w:r>
    </w:p>
    <w:p w:rsidRPr="005B551E" w:rsidR="00F74934" w:rsidP="00F74934" w:rsidRDefault="00F74934" w14:paraId="62D53A71" w14:textId="77777777">
      <w:pPr>
        <w:spacing w:line="240" w:lineRule="auto"/>
        <w:ind w:left="284"/>
        <w:contextualSpacing/>
        <w:rPr>
          <w:rFonts w:asciiTheme="majorHAnsi" w:hAnsiTheme="majorHAnsi" w:cstheme="minorHAnsi"/>
          <w:i/>
          <w:iCs/>
          <w:sz w:val="24"/>
        </w:rPr>
      </w:pPr>
    </w:p>
    <w:p w:rsidRPr="005B551E" w:rsidR="00AA4ABF" w:rsidP="00F74934" w:rsidRDefault="00AA4ABF" w14:paraId="0F7BF3FE" w14:textId="292FEE5F">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Dicha escala de niveles podrá ser diferente a la regulatoria, sin embargo, deberá contar por lo menos con cuatro niveles que permitan discriminar sobre la capacidad de pago de los deudores bajo escenarios de estrés.</w:t>
      </w:r>
    </w:p>
    <w:p w:rsidRPr="005B551E" w:rsidR="00F74934" w:rsidP="00F74934" w:rsidRDefault="00F74934" w14:paraId="2ED88CE0" w14:textId="77777777">
      <w:pPr>
        <w:spacing w:line="240" w:lineRule="auto"/>
        <w:ind w:left="284"/>
        <w:contextualSpacing/>
        <w:rPr>
          <w:rFonts w:asciiTheme="majorHAnsi" w:hAnsiTheme="majorHAnsi" w:cstheme="minorHAnsi"/>
          <w:i/>
          <w:iCs/>
          <w:sz w:val="24"/>
        </w:rPr>
      </w:pPr>
    </w:p>
    <w:p w:rsidRPr="005B551E" w:rsidR="00AA4ABF" w:rsidP="00F74934" w:rsidRDefault="00AA4ABF" w14:paraId="214C091A" w14:textId="44A14976">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El nivel de capacidad de pago que la entidad asigne a cada deudor debe utilizarse en el proceso de decisión crediticia, tanto en la etapa de otorgamiento de crédito como en las etapas de seguimiento y control.</w:t>
      </w:r>
    </w:p>
    <w:p w:rsidRPr="005B551E" w:rsidR="00F74934" w:rsidP="00F74934" w:rsidRDefault="00F74934" w14:paraId="7A8C16C5" w14:textId="77777777">
      <w:pPr>
        <w:spacing w:line="240" w:lineRule="auto"/>
        <w:ind w:left="284"/>
        <w:contextualSpacing/>
        <w:rPr>
          <w:rFonts w:asciiTheme="majorHAnsi" w:hAnsiTheme="majorHAnsi" w:cstheme="minorHAnsi"/>
          <w:i/>
          <w:iCs/>
          <w:sz w:val="24"/>
        </w:rPr>
      </w:pPr>
    </w:p>
    <w:p w:rsidRPr="005B551E" w:rsidR="00AA4ABF" w:rsidP="00F74934" w:rsidRDefault="00AA4ABF" w14:paraId="7D05FC43" w14:textId="6CB84A0B">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En la Sección VII de estos Lineamientos Generales se establecen algunos aspectos a considerar en la determinación de la definición de las metodologías de análisis de capacidad de pago, y en la Sección VIII de estos Lineamientos se incluyen algunos aspectos a tomar en consideración en las metodologías de análisis de estrés.”</w:t>
      </w:r>
    </w:p>
    <w:p w:rsidRPr="005B551E" w:rsidR="00AA4ABF" w:rsidP="00F74934" w:rsidRDefault="00AA4ABF" w14:paraId="74FD85A6" w14:textId="77777777">
      <w:pPr>
        <w:spacing w:line="240" w:lineRule="auto"/>
        <w:ind w:left="284"/>
        <w:contextualSpacing/>
        <w:rPr>
          <w:rFonts w:asciiTheme="majorHAnsi" w:hAnsiTheme="majorHAnsi" w:cstheme="minorHAnsi"/>
          <w:i/>
          <w:iCs/>
          <w:sz w:val="24"/>
        </w:rPr>
      </w:pPr>
    </w:p>
    <w:p w:rsidRPr="005B551E" w:rsidR="00AA4ABF" w:rsidP="00F74934" w:rsidRDefault="00AA4ABF" w14:paraId="69ABA407" w14:textId="77777777">
      <w:pPr>
        <w:pStyle w:val="Prrafodelista"/>
        <w:numPr>
          <w:ilvl w:val="0"/>
          <w:numId w:val="6"/>
        </w:numPr>
        <w:spacing w:after="160" w:line="240" w:lineRule="auto"/>
        <w:ind w:left="567" w:hanging="283"/>
        <w:jc w:val="both"/>
        <w:rPr>
          <w:rFonts w:asciiTheme="majorHAnsi" w:hAnsiTheme="majorHAnsi" w:cstheme="minorHAnsi"/>
          <w:i/>
          <w:iCs/>
          <w:sz w:val="24"/>
          <w:szCs w:val="24"/>
        </w:rPr>
      </w:pPr>
      <w:r w:rsidRPr="005B551E">
        <w:rPr>
          <w:rFonts w:asciiTheme="majorHAnsi" w:hAnsiTheme="majorHAnsi" w:cstheme="minorHAnsi"/>
          <w:b/>
          <w:i/>
          <w:iCs/>
          <w:sz w:val="24"/>
          <w:szCs w:val="24"/>
        </w:rPr>
        <w:t>DEFINICIÓN DE NIVELES DE CAPACIDAD DE PAGO</w:t>
      </w:r>
    </w:p>
    <w:p w:rsidRPr="005B551E" w:rsidR="00AA4ABF" w:rsidP="00F74934" w:rsidRDefault="00AA4ABF" w14:paraId="78C08CF6" w14:textId="3CFD22AC">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La entidad deberá asociar sus diferentes niveles internos de capacidad de pago con los siguientes 4 niveles, cuyo concepto se detalla en el cuadro siguiente</w:t>
      </w:r>
      <w:r w:rsidRPr="005B551E">
        <w:rPr>
          <w:rFonts w:asciiTheme="majorHAnsi" w:hAnsiTheme="majorHAnsi" w:cstheme="minorHAnsi"/>
          <w:iCs/>
          <w:sz w:val="24"/>
        </w:rPr>
        <w:t xml:space="preserve">, </w:t>
      </w:r>
      <w:r w:rsidRPr="005B551E">
        <w:rPr>
          <w:rFonts w:asciiTheme="majorHAnsi" w:hAnsiTheme="majorHAnsi" w:cstheme="minorHAnsi"/>
          <w:i/>
          <w:iCs/>
          <w:sz w:val="24"/>
        </w:rPr>
        <w:t>cumpliendo copulativamente los criterios señalados:</w:t>
      </w:r>
    </w:p>
    <w:p w:rsidRPr="005B551E" w:rsidR="00AA4ABF" w:rsidP="00F74934" w:rsidRDefault="00AA4ABF" w14:paraId="5627F394" w14:textId="77777777">
      <w:pPr>
        <w:spacing w:line="240" w:lineRule="auto"/>
        <w:ind w:left="284"/>
        <w:contextualSpacing/>
        <w:rPr>
          <w:rFonts w:asciiTheme="majorHAnsi" w:hAnsiTheme="majorHAnsi" w:cstheme="minorHAnsi"/>
          <w:i/>
          <w:iCs/>
          <w:sz w:val="24"/>
        </w:rPr>
      </w:pPr>
    </w:p>
    <w:p w:rsidRPr="005B551E" w:rsidR="00AA4ABF" w:rsidP="00F74934" w:rsidRDefault="00AA4ABF" w14:paraId="0DECB334" w14:textId="77777777">
      <w:pPr>
        <w:pStyle w:val="Prrafodelista"/>
        <w:numPr>
          <w:ilvl w:val="0"/>
          <w:numId w:val="11"/>
        </w:numPr>
        <w:spacing w:after="160" w:line="240" w:lineRule="auto"/>
        <w:jc w:val="both"/>
        <w:rPr>
          <w:rFonts w:asciiTheme="majorHAnsi" w:hAnsiTheme="majorHAnsi" w:cstheme="minorHAnsi"/>
          <w:bCs/>
          <w:i/>
          <w:iCs/>
          <w:sz w:val="24"/>
          <w:szCs w:val="24"/>
        </w:rPr>
      </w:pPr>
      <w:r w:rsidRPr="005B551E">
        <w:rPr>
          <w:rFonts w:asciiTheme="majorHAnsi" w:hAnsiTheme="majorHAnsi" w:cstheme="minorHAnsi"/>
          <w:bCs/>
          <w:i/>
          <w:iCs/>
          <w:sz w:val="24"/>
          <w:szCs w:val="24"/>
        </w:rPr>
        <w:t>Nivel 1: tiene capacidad de pago,</w:t>
      </w:r>
    </w:p>
    <w:p w:rsidRPr="005B551E" w:rsidR="00AA4ABF" w:rsidP="00F74934" w:rsidRDefault="00AA4ABF" w14:paraId="4CA392DA" w14:textId="77777777">
      <w:pPr>
        <w:pStyle w:val="Prrafodelista"/>
        <w:numPr>
          <w:ilvl w:val="0"/>
          <w:numId w:val="11"/>
        </w:numPr>
        <w:spacing w:after="160" w:line="240" w:lineRule="auto"/>
        <w:jc w:val="both"/>
        <w:rPr>
          <w:rFonts w:asciiTheme="majorHAnsi" w:hAnsiTheme="majorHAnsi" w:cstheme="minorHAnsi"/>
          <w:bCs/>
          <w:i/>
          <w:iCs/>
          <w:sz w:val="24"/>
          <w:szCs w:val="24"/>
        </w:rPr>
      </w:pPr>
      <w:r w:rsidRPr="005B551E">
        <w:rPr>
          <w:rFonts w:asciiTheme="majorHAnsi" w:hAnsiTheme="majorHAnsi" w:cstheme="minorHAnsi"/>
          <w:i/>
          <w:iCs/>
          <w:sz w:val="24"/>
          <w:szCs w:val="24"/>
        </w:rPr>
        <w:t>Nivel 2: presenta debilidades leves en la capacidad de pago,</w:t>
      </w:r>
    </w:p>
    <w:p w:rsidRPr="005B551E" w:rsidR="00AA4ABF" w:rsidP="00F74934" w:rsidRDefault="00AA4ABF" w14:paraId="3A45A18B" w14:textId="77777777">
      <w:pPr>
        <w:pStyle w:val="Prrafodelista"/>
        <w:numPr>
          <w:ilvl w:val="0"/>
          <w:numId w:val="11"/>
        </w:numPr>
        <w:spacing w:after="160" w:line="240" w:lineRule="auto"/>
        <w:jc w:val="both"/>
        <w:rPr>
          <w:rFonts w:asciiTheme="majorHAnsi" w:hAnsiTheme="majorHAnsi" w:cstheme="minorHAnsi"/>
          <w:bCs/>
          <w:i/>
          <w:iCs/>
          <w:sz w:val="24"/>
          <w:szCs w:val="24"/>
        </w:rPr>
      </w:pPr>
      <w:r w:rsidRPr="005B551E">
        <w:rPr>
          <w:rFonts w:asciiTheme="majorHAnsi" w:hAnsiTheme="majorHAnsi" w:cstheme="minorHAnsi"/>
          <w:i/>
          <w:iCs/>
          <w:sz w:val="24"/>
          <w:szCs w:val="24"/>
        </w:rPr>
        <w:t>Nivel 3: presenta debilidades graves en la capacidad de pago, y</w:t>
      </w:r>
    </w:p>
    <w:p w:rsidRPr="005B551E" w:rsidR="00AA4ABF" w:rsidP="00F74934" w:rsidRDefault="00AA4ABF" w14:paraId="1C531E00" w14:textId="77777777">
      <w:pPr>
        <w:pStyle w:val="Prrafodelista"/>
        <w:numPr>
          <w:ilvl w:val="0"/>
          <w:numId w:val="11"/>
        </w:numPr>
        <w:spacing w:after="160" w:line="240" w:lineRule="auto"/>
        <w:jc w:val="both"/>
        <w:rPr>
          <w:rFonts w:asciiTheme="majorHAnsi" w:hAnsiTheme="majorHAnsi" w:cstheme="minorHAnsi"/>
          <w:bCs/>
          <w:i/>
          <w:iCs/>
          <w:sz w:val="24"/>
          <w:szCs w:val="24"/>
        </w:rPr>
      </w:pPr>
      <w:r w:rsidRPr="005B551E">
        <w:rPr>
          <w:rFonts w:asciiTheme="majorHAnsi" w:hAnsiTheme="majorHAnsi" w:cstheme="minorHAnsi"/>
          <w:i/>
          <w:iCs/>
          <w:sz w:val="24"/>
          <w:szCs w:val="24"/>
        </w:rPr>
        <w:t>Nivel 4: no tiene capacidad de pago.</w:t>
      </w:r>
    </w:p>
    <w:p w:rsidRPr="005B551E" w:rsidR="00AA4ABF" w:rsidP="00F74934" w:rsidRDefault="00AA4ABF" w14:paraId="3BB2AAEF" w14:textId="77777777">
      <w:pPr>
        <w:spacing w:line="240" w:lineRule="auto"/>
        <w:contextualSpacing/>
        <w:rPr>
          <w:rFonts w:asciiTheme="majorHAnsi" w:hAnsiTheme="majorHAnsi" w:cstheme="minorHAnsi"/>
          <w:bCs/>
          <w:i/>
          <w:iCs/>
          <w:sz w:val="24"/>
        </w:rPr>
      </w:pPr>
      <w:r w:rsidRPr="005B551E">
        <w:rPr>
          <w:rFonts w:asciiTheme="majorHAnsi" w:hAnsiTheme="majorHAnsi" w:cstheme="minorHAnsi"/>
          <w:noProof/>
          <w:sz w:val="24"/>
          <w:lang w:eastAsia="es-CR"/>
        </w:rPr>
        <w:lastRenderedPageBreak/>
        <w:drawing>
          <wp:anchor distT="0" distB="0" distL="114300" distR="114300" simplePos="0" relativeHeight="251661312" behindDoc="1" locked="0" layoutInCell="1" allowOverlap="1" wp14:editId="33EDA524" wp14:anchorId="39D4CDF3">
            <wp:simplePos x="0" y="0"/>
            <wp:positionH relativeFrom="margin">
              <wp:posOffset>505460</wp:posOffset>
            </wp:positionH>
            <wp:positionV relativeFrom="paragraph">
              <wp:posOffset>82550</wp:posOffset>
            </wp:positionV>
            <wp:extent cx="4409440" cy="3980180"/>
            <wp:effectExtent l="0" t="0" r="0" b="1270"/>
            <wp:wrapTight wrapText="bothSides">
              <wp:wrapPolygon edited="0">
                <wp:start x="0" y="0"/>
                <wp:lineTo x="0" y="21504"/>
                <wp:lineTo x="21463" y="21504"/>
                <wp:lineTo x="2146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09440" cy="3980180"/>
                    </a:xfrm>
                    <a:prstGeom prst="rect">
                      <a:avLst/>
                    </a:prstGeom>
                  </pic:spPr>
                </pic:pic>
              </a:graphicData>
            </a:graphic>
            <wp14:sizeRelH relativeFrom="page">
              <wp14:pctWidth>0</wp14:pctWidth>
            </wp14:sizeRelH>
            <wp14:sizeRelV relativeFrom="page">
              <wp14:pctHeight>0</wp14:pctHeight>
            </wp14:sizeRelV>
          </wp:anchor>
        </w:drawing>
      </w:r>
    </w:p>
    <w:p w:rsidRPr="005B551E" w:rsidR="00AA4ABF" w:rsidP="00F74934" w:rsidRDefault="00AA4ABF" w14:paraId="505470DC" w14:textId="77777777">
      <w:pPr>
        <w:spacing w:line="240" w:lineRule="auto"/>
        <w:contextualSpacing/>
        <w:rPr>
          <w:rFonts w:asciiTheme="majorHAnsi" w:hAnsiTheme="majorHAnsi" w:cstheme="minorHAnsi"/>
          <w:bCs/>
          <w:i/>
          <w:iCs/>
          <w:sz w:val="24"/>
        </w:rPr>
      </w:pPr>
    </w:p>
    <w:p w:rsidRPr="005B551E" w:rsidR="00AA4ABF" w:rsidP="00F74934" w:rsidRDefault="00AA4ABF" w14:paraId="527A8030" w14:textId="77777777">
      <w:pPr>
        <w:spacing w:line="240" w:lineRule="auto"/>
        <w:contextualSpacing/>
        <w:rPr>
          <w:rFonts w:asciiTheme="majorHAnsi" w:hAnsiTheme="majorHAnsi" w:cstheme="minorHAnsi"/>
          <w:bCs/>
          <w:i/>
          <w:iCs/>
          <w:sz w:val="24"/>
        </w:rPr>
      </w:pPr>
    </w:p>
    <w:p w:rsidRPr="005B551E" w:rsidR="00AA4ABF" w:rsidP="00F74934" w:rsidRDefault="00AA4ABF" w14:paraId="40948A3A" w14:textId="77777777">
      <w:pPr>
        <w:spacing w:line="240" w:lineRule="auto"/>
        <w:contextualSpacing/>
        <w:rPr>
          <w:rFonts w:asciiTheme="majorHAnsi" w:hAnsiTheme="majorHAnsi" w:cstheme="minorHAnsi"/>
          <w:bCs/>
          <w:i/>
          <w:iCs/>
          <w:sz w:val="24"/>
        </w:rPr>
      </w:pPr>
    </w:p>
    <w:p w:rsidRPr="005B551E" w:rsidR="00AA4ABF" w:rsidP="00F74934" w:rsidRDefault="00AA4ABF" w14:paraId="1D87B647" w14:textId="77777777">
      <w:pPr>
        <w:spacing w:line="240" w:lineRule="auto"/>
        <w:contextualSpacing/>
        <w:rPr>
          <w:rFonts w:asciiTheme="majorHAnsi" w:hAnsiTheme="majorHAnsi" w:cstheme="minorHAnsi"/>
          <w:bCs/>
          <w:i/>
          <w:iCs/>
          <w:sz w:val="24"/>
        </w:rPr>
      </w:pPr>
    </w:p>
    <w:p w:rsidRPr="005B551E" w:rsidR="00AA4ABF" w:rsidP="00F74934" w:rsidRDefault="00AA4ABF" w14:paraId="7A688826" w14:textId="77777777">
      <w:pPr>
        <w:spacing w:line="240" w:lineRule="auto"/>
        <w:contextualSpacing/>
        <w:rPr>
          <w:rFonts w:asciiTheme="majorHAnsi" w:hAnsiTheme="majorHAnsi" w:cstheme="minorHAnsi"/>
          <w:bCs/>
          <w:i/>
          <w:iCs/>
          <w:sz w:val="24"/>
        </w:rPr>
      </w:pPr>
    </w:p>
    <w:p w:rsidRPr="005B551E" w:rsidR="00AA4ABF" w:rsidP="00F74934" w:rsidRDefault="00AA4ABF" w14:paraId="173C0927" w14:textId="77777777">
      <w:pPr>
        <w:spacing w:line="240" w:lineRule="auto"/>
        <w:contextualSpacing/>
        <w:rPr>
          <w:rFonts w:asciiTheme="majorHAnsi" w:hAnsiTheme="majorHAnsi" w:cstheme="minorHAnsi"/>
          <w:bCs/>
          <w:i/>
          <w:iCs/>
          <w:sz w:val="24"/>
        </w:rPr>
      </w:pPr>
    </w:p>
    <w:p w:rsidRPr="005B551E" w:rsidR="00AA4ABF" w:rsidP="00F74934" w:rsidRDefault="00AA4ABF" w14:paraId="7537CDA5" w14:textId="77777777">
      <w:pPr>
        <w:spacing w:line="240" w:lineRule="auto"/>
        <w:contextualSpacing/>
        <w:rPr>
          <w:rFonts w:asciiTheme="majorHAnsi" w:hAnsiTheme="majorHAnsi" w:cstheme="minorHAnsi"/>
          <w:bCs/>
          <w:i/>
          <w:iCs/>
          <w:sz w:val="24"/>
        </w:rPr>
      </w:pPr>
    </w:p>
    <w:p w:rsidRPr="005B551E" w:rsidR="00AA4ABF" w:rsidP="00F74934" w:rsidRDefault="00AA4ABF" w14:paraId="78D920C8" w14:textId="77777777">
      <w:pPr>
        <w:spacing w:line="240" w:lineRule="auto"/>
        <w:contextualSpacing/>
        <w:rPr>
          <w:rFonts w:asciiTheme="majorHAnsi" w:hAnsiTheme="majorHAnsi" w:cstheme="minorHAnsi"/>
          <w:bCs/>
          <w:i/>
          <w:iCs/>
          <w:sz w:val="24"/>
        </w:rPr>
      </w:pPr>
    </w:p>
    <w:p w:rsidRPr="005B551E" w:rsidR="00AA4ABF" w:rsidP="00F74934" w:rsidRDefault="00AA4ABF" w14:paraId="3CCBA3F3" w14:textId="77777777">
      <w:pPr>
        <w:spacing w:line="240" w:lineRule="auto"/>
        <w:contextualSpacing/>
        <w:rPr>
          <w:rFonts w:asciiTheme="majorHAnsi" w:hAnsiTheme="majorHAnsi" w:cstheme="minorHAnsi"/>
          <w:bCs/>
          <w:i/>
          <w:iCs/>
          <w:sz w:val="24"/>
        </w:rPr>
      </w:pPr>
    </w:p>
    <w:p w:rsidRPr="005B551E" w:rsidR="00AA4ABF" w:rsidP="00F74934" w:rsidRDefault="00AA4ABF" w14:paraId="6B5D6E87" w14:textId="77777777">
      <w:pPr>
        <w:spacing w:line="240" w:lineRule="auto"/>
        <w:contextualSpacing/>
        <w:rPr>
          <w:rFonts w:asciiTheme="majorHAnsi" w:hAnsiTheme="majorHAnsi" w:cstheme="minorHAnsi"/>
          <w:bCs/>
          <w:i/>
          <w:iCs/>
          <w:sz w:val="24"/>
        </w:rPr>
      </w:pPr>
    </w:p>
    <w:p w:rsidRPr="005B551E" w:rsidR="00AA4ABF" w:rsidP="00F74934" w:rsidRDefault="00AA4ABF" w14:paraId="7A66154B" w14:textId="77777777">
      <w:pPr>
        <w:spacing w:line="240" w:lineRule="auto"/>
        <w:contextualSpacing/>
        <w:rPr>
          <w:rFonts w:asciiTheme="majorHAnsi" w:hAnsiTheme="majorHAnsi" w:cstheme="minorHAnsi"/>
          <w:bCs/>
          <w:i/>
          <w:iCs/>
          <w:sz w:val="24"/>
        </w:rPr>
      </w:pPr>
    </w:p>
    <w:p w:rsidRPr="005B551E" w:rsidR="00AA4ABF" w:rsidP="00F74934" w:rsidRDefault="00AA4ABF" w14:paraId="394BDFF3" w14:textId="77777777">
      <w:pPr>
        <w:spacing w:line="240" w:lineRule="auto"/>
        <w:contextualSpacing/>
        <w:rPr>
          <w:rFonts w:asciiTheme="majorHAnsi" w:hAnsiTheme="majorHAnsi" w:cstheme="minorHAnsi"/>
          <w:bCs/>
          <w:i/>
          <w:iCs/>
          <w:sz w:val="24"/>
        </w:rPr>
      </w:pPr>
    </w:p>
    <w:p w:rsidRPr="005B551E" w:rsidR="00AA4ABF" w:rsidP="00F74934" w:rsidRDefault="00AA4ABF" w14:paraId="2EDB30F0" w14:textId="77777777">
      <w:pPr>
        <w:spacing w:line="240" w:lineRule="auto"/>
        <w:contextualSpacing/>
        <w:rPr>
          <w:rFonts w:asciiTheme="majorHAnsi" w:hAnsiTheme="majorHAnsi" w:cstheme="minorHAnsi"/>
          <w:bCs/>
          <w:i/>
          <w:iCs/>
          <w:sz w:val="24"/>
        </w:rPr>
      </w:pPr>
    </w:p>
    <w:p w:rsidRPr="005B551E" w:rsidR="00AA4ABF" w:rsidP="00F74934" w:rsidRDefault="00AA4ABF" w14:paraId="29F141DA" w14:textId="77777777">
      <w:pPr>
        <w:spacing w:line="240" w:lineRule="auto"/>
        <w:contextualSpacing/>
        <w:rPr>
          <w:rFonts w:asciiTheme="majorHAnsi" w:hAnsiTheme="majorHAnsi" w:cstheme="minorHAnsi"/>
          <w:bCs/>
          <w:i/>
          <w:iCs/>
          <w:sz w:val="24"/>
        </w:rPr>
      </w:pPr>
    </w:p>
    <w:p w:rsidRPr="005B551E" w:rsidR="00AA4ABF" w:rsidP="00F74934" w:rsidRDefault="00AA4ABF" w14:paraId="1D3324E2" w14:textId="77777777">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 xml:space="preserve">La </w:t>
      </w:r>
    </w:p>
    <w:p w:rsidRPr="005B551E" w:rsidR="00AA4ABF" w:rsidP="00F74934" w:rsidRDefault="00AA4ABF" w14:paraId="74035A3F" w14:textId="77777777">
      <w:pPr>
        <w:spacing w:line="240" w:lineRule="auto"/>
        <w:ind w:left="284"/>
        <w:contextualSpacing/>
        <w:rPr>
          <w:rFonts w:asciiTheme="majorHAnsi" w:hAnsiTheme="majorHAnsi" w:cstheme="minorHAnsi"/>
          <w:i/>
          <w:iCs/>
          <w:sz w:val="24"/>
        </w:rPr>
      </w:pPr>
    </w:p>
    <w:p w:rsidRPr="005B551E" w:rsidR="00AA4ABF" w:rsidP="00F74934" w:rsidRDefault="00AA4ABF" w14:paraId="7CF15C72" w14:textId="77777777">
      <w:pPr>
        <w:spacing w:line="240" w:lineRule="auto"/>
        <w:ind w:left="284"/>
        <w:contextualSpacing/>
        <w:rPr>
          <w:rFonts w:asciiTheme="majorHAnsi" w:hAnsiTheme="majorHAnsi" w:cstheme="minorHAnsi"/>
          <w:i/>
          <w:iCs/>
          <w:sz w:val="24"/>
        </w:rPr>
      </w:pPr>
    </w:p>
    <w:p w:rsidRPr="005B551E" w:rsidR="00AA4ABF" w:rsidP="00F74934" w:rsidRDefault="00AA4ABF" w14:paraId="5B9770F8" w14:textId="77777777">
      <w:pPr>
        <w:spacing w:line="240" w:lineRule="auto"/>
        <w:ind w:left="284"/>
        <w:contextualSpacing/>
        <w:rPr>
          <w:rFonts w:asciiTheme="majorHAnsi" w:hAnsiTheme="majorHAnsi" w:cstheme="minorHAnsi"/>
          <w:i/>
          <w:iCs/>
          <w:sz w:val="24"/>
        </w:rPr>
      </w:pPr>
    </w:p>
    <w:p w:rsidRPr="005B551E" w:rsidR="00AA4ABF" w:rsidP="00F74934" w:rsidRDefault="00AA4ABF" w14:paraId="306D491C" w14:textId="77777777">
      <w:pPr>
        <w:spacing w:line="240" w:lineRule="auto"/>
        <w:ind w:left="284"/>
        <w:contextualSpacing/>
        <w:rPr>
          <w:rFonts w:asciiTheme="majorHAnsi" w:hAnsiTheme="majorHAnsi" w:cstheme="minorHAnsi"/>
          <w:i/>
          <w:iCs/>
          <w:sz w:val="24"/>
        </w:rPr>
      </w:pPr>
    </w:p>
    <w:p w:rsidRPr="005B551E" w:rsidR="00AA4ABF" w:rsidP="00F74934" w:rsidRDefault="00AA4ABF" w14:paraId="21CE67E1" w14:textId="77777777">
      <w:pPr>
        <w:spacing w:line="240" w:lineRule="auto"/>
        <w:ind w:left="284"/>
        <w:contextualSpacing/>
        <w:rPr>
          <w:rFonts w:asciiTheme="majorHAnsi" w:hAnsiTheme="majorHAnsi" w:cstheme="minorHAnsi"/>
          <w:i/>
          <w:iCs/>
          <w:sz w:val="24"/>
        </w:rPr>
      </w:pPr>
    </w:p>
    <w:p w:rsidRPr="005B551E" w:rsidR="00AA4ABF" w:rsidP="00F74934" w:rsidRDefault="00AA4ABF" w14:paraId="26FEB5DC" w14:textId="77777777">
      <w:pPr>
        <w:spacing w:line="240" w:lineRule="auto"/>
        <w:ind w:left="284"/>
        <w:contextualSpacing/>
        <w:rPr>
          <w:rFonts w:asciiTheme="majorHAnsi" w:hAnsiTheme="majorHAnsi" w:cstheme="minorHAnsi"/>
          <w:i/>
          <w:iCs/>
          <w:sz w:val="24"/>
        </w:rPr>
      </w:pPr>
    </w:p>
    <w:p w:rsidRPr="005B551E" w:rsidR="00AA4ABF" w:rsidP="00F74934" w:rsidRDefault="00AA4ABF" w14:paraId="77FA07FB" w14:textId="77777777">
      <w:pPr>
        <w:spacing w:line="240" w:lineRule="auto"/>
        <w:ind w:left="284"/>
        <w:contextualSpacing/>
        <w:rPr>
          <w:rFonts w:asciiTheme="majorHAnsi" w:hAnsiTheme="majorHAnsi" w:cstheme="minorHAnsi"/>
          <w:i/>
          <w:iCs/>
          <w:sz w:val="24"/>
        </w:rPr>
      </w:pPr>
    </w:p>
    <w:p w:rsidRPr="005B551E" w:rsidR="00AA4ABF" w:rsidP="00F74934" w:rsidRDefault="00AA4ABF" w14:paraId="277819CB" w14:textId="149374F1">
      <w:pPr>
        <w:spacing w:line="240" w:lineRule="auto"/>
        <w:ind w:left="284"/>
        <w:contextualSpacing/>
        <w:rPr>
          <w:rFonts w:asciiTheme="majorHAnsi" w:hAnsiTheme="majorHAnsi" w:cstheme="minorHAnsi"/>
          <w:i/>
          <w:iCs/>
          <w:sz w:val="24"/>
        </w:rPr>
      </w:pPr>
      <w:r w:rsidRPr="005B551E">
        <w:rPr>
          <w:rFonts w:asciiTheme="majorHAnsi" w:hAnsiTheme="majorHAnsi" w:cstheme="minorHAnsi"/>
          <w:i/>
          <w:iCs/>
          <w:sz w:val="24"/>
        </w:rPr>
        <w:t>SUGEF valorará la razonabilidad de los criterios de asociación entre las calificaciones internas y los niveles regulatorios, los cuales la entidad debe mantener debidamente documentados. Cuando la Superintendencia lo considere, requerirá a la entidad ajustes en la asociación entre los niveles de calificación internos y los niveles regulatorios, debidamente fundamentado.”</w:t>
      </w:r>
    </w:p>
    <w:p w:rsidRPr="005B551E" w:rsidR="00AA4ABF" w:rsidP="00F74934" w:rsidRDefault="00AA4ABF" w14:paraId="4582532B" w14:textId="77777777">
      <w:pPr>
        <w:spacing w:line="240" w:lineRule="auto"/>
        <w:ind w:left="284"/>
        <w:contextualSpacing/>
        <w:rPr>
          <w:rFonts w:asciiTheme="majorHAnsi" w:hAnsiTheme="majorHAnsi" w:cstheme="minorHAnsi"/>
          <w:i/>
          <w:iCs/>
          <w:sz w:val="24"/>
        </w:rPr>
      </w:pPr>
    </w:p>
    <w:p w:rsidRPr="005B551E" w:rsidR="00AA4ABF" w:rsidP="00F74934" w:rsidRDefault="00AA4ABF" w14:paraId="33BD6AF8" w14:textId="4E111E7F">
      <w:pPr>
        <w:pStyle w:val="Prrafodelista"/>
        <w:numPr>
          <w:ilvl w:val="0"/>
          <w:numId w:val="5"/>
        </w:numPr>
        <w:spacing w:after="160" w:line="240" w:lineRule="auto"/>
        <w:jc w:val="both"/>
        <w:rPr>
          <w:rFonts w:asciiTheme="majorHAnsi" w:hAnsiTheme="majorHAnsi" w:cstheme="minorHAnsi"/>
          <w:b/>
          <w:sz w:val="24"/>
          <w:szCs w:val="24"/>
        </w:rPr>
      </w:pPr>
      <w:r w:rsidRPr="005B551E">
        <w:rPr>
          <w:rFonts w:asciiTheme="majorHAnsi" w:hAnsiTheme="majorHAnsi" w:cstheme="minorHAnsi"/>
          <w:b/>
          <w:sz w:val="24"/>
          <w:szCs w:val="24"/>
        </w:rPr>
        <w:t>Modificar la Sección III. ANÁLISIS DE LAS GARANTÍAS, de conformidad con el siguiente texto:</w:t>
      </w:r>
    </w:p>
    <w:p w:rsidRPr="005B551E" w:rsidR="00AA4ABF" w:rsidP="00F74934" w:rsidRDefault="00AA4ABF" w14:paraId="01CBC0C9" w14:textId="77777777">
      <w:pPr>
        <w:pStyle w:val="Prrafodelista"/>
        <w:spacing w:after="160" w:line="240" w:lineRule="auto"/>
        <w:ind w:left="360"/>
        <w:jc w:val="both"/>
        <w:rPr>
          <w:rFonts w:asciiTheme="majorHAnsi" w:hAnsiTheme="majorHAnsi" w:cstheme="minorHAnsi"/>
          <w:b/>
          <w:sz w:val="24"/>
          <w:szCs w:val="24"/>
        </w:rPr>
      </w:pPr>
    </w:p>
    <w:p w:rsidRPr="005B551E" w:rsidR="00AA4ABF" w:rsidP="00F74934" w:rsidRDefault="00AA4ABF" w14:paraId="04BD777A" w14:textId="00AF9FE9">
      <w:pPr>
        <w:pStyle w:val="Prrafodelista"/>
        <w:spacing w:line="240" w:lineRule="auto"/>
        <w:ind w:left="360"/>
        <w:jc w:val="both"/>
        <w:rPr>
          <w:rFonts w:asciiTheme="majorHAnsi" w:hAnsiTheme="majorHAnsi" w:cstheme="minorHAnsi"/>
          <w:b/>
          <w:bCs/>
          <w:i/>
          <w:iCs/>
          <w:sz w:val="24"/>
          <w:szCs w:val="24"/>
        </w:rPr>
      </w:pPr>
      <w:r w:rsidRPr="005B551E">
        <w:rPr>
          <w:rFonts w:asciiTheme="majorHAnsi" w:hAnsiTheme="majorHAnsi" w:cstheme="minorHAnsi"/>
          <w:b/>
          <w:bCs/>
          <w:i/>
          <w:iCs/>
          <w:sz w:val="24"/>
          <w:szCs w:val="24"/>
        </w:rPr>
        <w:t>“III. ANÁLISIS DE LAS GARANTÍAS</w:t>
      </w:r>
    </w:p>
    <w:p w:rsidRPr="005B551E" w:rsidR="00AA4ABF" w:rsidP="00F74934" w:rsidRDefault="00AA4ABF" w14:paraId="6C966CA9" w14:textId="77777777">
      <w:pPr>
        <w:pStyle w:val="Prrafodelista"/>
        <w:spacing w:line="240" w:lineRule="auto"/>
        <w:ind w:left="360"/>
        <w:jc w:val="both"/>
        <w:rPr>
          <w:rFonts w:asciiTheme="majorHAnsi" w:hAnsiTheme="majorHAnsi" w:cstheme="minorHAnsi"/>
          <w:b/>
          <w:bCs/>
          <w:i/>
          <w:iCs/>
          <w:sz w:val="24"/>
          <w:szCs w:val="24"/>
        </w:rPr>
      </w:pPr>
    </w:p>
    <w:p w:rsidRPr="005B551E" w:rsidR="00AA4ABF" w:rsidP="00F74934" w:rsidRDefault="00AA4ABF" w14:paraId="739D2C74" w14:textId="77777777">
      <w:pPr>
        <w:pStyle w:val="Prrafodelista"/>
        <w:spacing w:line="240" w:lineRule="auto"/>
        <w:ind w:left="360"/>
        <w:jc w:val="both"/>
        <w:rPr>
          <w:rFonts w:asciiTheme="majorHAnsi" w:hAnsiTheme="majorHAnsi" w:cstheme="minorHAnsi"/>
          <w:b/>
          <w:i/>
          <w:iCs/>
          <w:sz w:val="24"/>
          <w:szCs w:val="24"/>
        </w:rPr>
      </w:pPr>
      <w:r w:rsidRPr="005B551E">
        <w:rPr>
          <w:rFonts w:asciiTheme="majorHAnsi" w:hAnsiTheme="majorHAnsi" w:cstheme="minorHAnsi"/>
          <w:bCs/>
          <w:i/>
          <w:iCs/>
          <w:sz w:val="24"/>
          <w:szCs w:val="24"/>
        </w:rPr>
        <w:t>“</w:t>
      </w:r>
      <w:r w:rsidRPr="005B551E">
        <w:rPr>
          <w:rFonts w:asciiTheme="majorHAnsi" w:hAnsiTheme="majorHAnsi" w:cstheme="minorHAnsi"/>
          <w:b/>
          <w:i/>
          <w:iCs/>
          <w:sz w:val="24"/>
          <w:szCs w:val="24"/>
        </w:rPr>
        <w:t>Objetivo:</w:t>
      </w:r>
      <w:r w:rsidRPr="005B551E">
        <w:rPr>
          <w:rFonts w:asciiTheme="majorHAnsi" w:hAnsiTheme="majorHAnsi" w:cstheme="minorHAnsi"/>
          <w:bCs/>
          <w:i/>
          <w:iCs/>
          <w:sz w:val="24"/>
          <w:szCs w:val="24"/>
        </w:rPr>
        <w:t xml:space="preserve"> Establecer disposiciones mínimas para determinar el valor ajustado de las garantías como mitigadores de riesgo para efectos del cálculo de la estimación de crédito</w:t>
      </w:r>
      <w:r w:rsidRPr="005B551E">
        <w:rPr>
          <w:rFonts w:asciiTheme="majorHAnsi" w:hAnsiTheme="majorHAnsi" w:cstheme="minorHAnsi"/>
          <w:b/>
          <w:i/>
          <w:iCs/>
          <w:sz w:val="24"/>
          <w:szCs w:val="24"/>
        </w:rPr>
        <w:t>.</w:t>
      </w:r>
    </w:p>
    <w:p w:rsidRPr="005B551E" w:rsidR="00AA4ABF" w:rsidP="00F74934" w:rsidRDefault="00AA4ABF" w14:paraId="6FBF53A0" w14:textId="77777777">
      <w:pPr>
        <w:pStyle w:val="Prrafodelista"/>
        <w:spacing w:line="240" w:lineRule="auto"/>
        <w:ind w:left="360"/>
        <w:jc w:val="both"/>
        <w:rPr>
          <w:rFonts w:asciiTheme="majorHAnsi" w:hAnsiTheme="majorHAnsi" w:cstheme="minorHAnsi"/>
          <w:sz w:val="24"/>
          <w:szCs w:val="24"/>
        </w:rPr>
      </w:pPr>
    </w:p>
    <w:p w:rsidRPr="005B551E" w:rsidR="00AA4ABF" w:rsidP="00F74934" w:rsidRDefault="00AA4ABF" w14:paraId="19F81A23" w14:textId="77777777">
      <w:pPr>
        <w:pStyle w:val="Prrafodelista"/>
        <w:numPr>
          <w:ilvl w:val="0"/>
          <w:numId w:val="12"/>
        </w:numPr>
        <w:spacing w:after="160" w:line="240" w:lineRule="auto"/>
        <w:ind w:left="709" w:hanging="283"/>
        <w:jc w:val="both"/>
        <w:rPr>
          <w:rFonts w:asciiTheme="majorHAnsi" w:hAnsiTheme="majorHAnsi" w:cstheme="minorHAnsi"/>
          <w:i/>
          <w:iCs/>
          <w:sz w:val="24"/>
          <w:szCs w:val="24"/>
        </w:rPr>
      </w:pPr>
      <w:r w:rsidRPr="005B551E">
        <w:rPr>
          <w:rFonts w:asciiTheme="majorHAnsi" w:hAnsiTheme="majorHAnsi" w:cstheme="minorHAnsi"/>
          <w:i/>
          <w:iCs/>
          <w:sz w:val="24"/>
          <w:szCs w:val="24"/>
        </w:rPr>
        <w:t>Valor de mercado</w:t>
      </w:r>
    </w:p>
    <w:p w:rsidRPr="005B551E" w:rsidR="00AA4ABF" w:rsidP="00F74934" w:rsidRDefault="00AA4ABF" w14:paraId="5E0F71AD" w14:textId="61D37703">
      <w:pPr>
        <w:pStyle w:val="Prrafodelista"/>
        <w:spacing w:line="240" w:lineRule="auto"/>
        <w:ind w:left="360"/>
        <w:jc w:val="both"/>
        <w:rPr>
          <w:rFonts w:asciiTheme="majorHAnsi" w:hAnsiTheme="majorHAnsi" w:cstheme="minorHAnsi"/>
          <w:i/>
          <w:iCs/>
          <w:sz w:val="24"/>
          <w:szCs w:val="24"/>
        </w:rPr>
      </w:pPr>
      <w:r w:rsidRPr="005B551E">
        <w:rPr>
          <w:rFonts w:asciiTheme="majorHAnsi" w:hAnsiTheme="majorHAnsi" w:cstheme="minorHAnsi"/>
          <w:i/>
          <w:iCs/>
          <w:sz w:val="24"/>
          <w:szCs w:val="24"/>
        </w:rPr>
        <w:t xml:space="preserve">Objetivo: Establecer disposiciones para determinar el valor de mercado como el precio estimado que obtendría la entidad en caso de la venta del activo bajo las condiciones actuales del mercado o el valor facial del documento en caso de fianzas, </w:t>
      </w:r>
      <w:r w:rsidRPr="005B551E">
        <w:rPr>
          <w:rFonts w:asciiTheme="majorHAnsi" w:hAnsiTheme="majorHAnsi" w:cstheme="minorHAnsi"/>
          <w:i/>
          <w:iCs/>
          <w:sz w:val="24"/>
          <w:szCs w:val="24"/>
        </w:rPr>
        <w:lastRenderedPageBreak/>
        <w:t>avales, documentos cedidos, documentos emitidos por empresas transportadoras o carta de crédito.</w:t>
      </w:r>
    </w:p>
    <w:p w:rsidRPr="005B551E" w:rsidR="00AA4ABF" w:rsidP="00F74934" w:rsidRDefault="00AA4ABF" w14:paraId="0889A335" w14:textId="77777777">
      <w:pPr>
        <w:pStyle w:val="Prrafodelista"/>
        <w:spacing w:line="240" w:lineRule="auto"/>
        <w:ind w:left="360"/>
        <w:jc w:val="both"/>
        <w:rPr>
          <w:rFonts w:asciiTheme="majorHAnsi" w:hAnsiTheme="majorHAnsi" w:cstheme="minorHAnsi"/>
          <w:i/>
          <w:iCs/>
          <w:sz w:val="24"/>
          <w:szCs w:val="24"/>
        </w:rPr>
      </w:pPr>
    </w:p>
    <w:p w:rsidRPr="005B551E" w:rsidR="00AA4ABF" w:rsidP="00F74934" w:rsidRDefault="00AA4ABF" w14:paraId="1188E632" w14:textId="77777777">
      <w:pPr>
        <w:pStyle w:val="Prrafodelista"/>
        <w:numPr>
          <w:ilvl w:val="0"/>
          <w:numId w:val="13"/>
        </w:numPr>
        <w:spacing w:after="160" w:line="240" w:lineRule="auto"/>
        <w:ind w:left="993"/>
        <w:jc w:val="both"/>
        <w:rPr>
          <w:rFonts w:asciiTheme="majorHAnsi" w:hAnsiTheme="majorHAnsi" w:cstheme="minorHAnsi"/>
          <w:b/>
          <w:i/>
          <w:iCs/>
          <w:sz w:val="24"/>
          <w:szCs w:val="24"/>
        </w:rPr>
      </w:pPr>
      <w:r w:rsidRPr="005B551E">
        <w:rPr>
          <w:rFonts w:asciiTheme="majorHAnsi" w:hAnsiTheme="majorHAnsi" w:cstheme="minorHAnsi"/>
          <w:i/>
          <w:iCs/>
          <w:sz w:val="24"/>
          <w:szCs w:val="24"/>
        </w:rPr>
        <w:t>Terrenos y edificaciones</w:t>
      </w:r>
    </w:p>
    <w:p w:rsidRPr="005B551E" w:rsidR="00AA4ABF" w:rsidP="00F74934" w:rsidRDefault="00AA4ABF" w14:paraId="4BF3D8AA" w14:textId="77777777">
      <w:pPr>
        <w:pStyle w:val="Prrafodelista"/>
        <w:spacing w:line="240" w:lineRule="auto"/>
        <w:ind w:left="992"/>
        <w:jc w:val="both"/>
        <w:rPr>
          <w:rFonts w:asciiTheme="majorHAnsi" w:hAnsiTheme="majorHAnsi" w:cstheme="minorHAnsi"/>
          <w:i/>
          <w:iCs/>
          <w:sz w:val="24"/>
          <w:szCs w:val="24"/>
        </w:rPr>
      </w:pPr>
      <w:r w:rsidRPr="005B551E">
        <w:rPr>
          <w:rFonts w:asciiTheme="majorHAnsi" w:hAnsiTheme="majorHAnsi" w:cstheme="minorHAnsi"/>
          <w:i/>
          <w:iCs/>
          <w:sz w:val="24"/>
          <w:szCs w:val="24"/>
        </w:rPr>
        <w:t>El avalúo debe especificar por separado el valor de mercado estimado del terreno y de la edificación, cuando corresponda, así como un detalle que justifique el cálculo del valor de mercado. Si el bien está arrendado, el reporte debe indicar el nombre del arrendatario y la vigencia del contrato existente. Asimismo, debe incluirse el año de construcción del bien, el grado de mantenimiento o conservación en que se encuentra y el grado de liquidez, así como las afectaciones a que está sujeto (servidumbres, declaratorias de patrimonio arquitectónico o histórico, zonas protegidas, entre otras). La SUGEF puede corroborar por su cuenta que el valor de mercado reportado por el valuador y aceptado por la entidad sea consistente con la realidad del mercado inmobiliario.</w:t>
      </w:r>
    </w:p>
    <w:p w:rsidRPr="005B551E" w:rsidR="00AA4ABF" w:rsidP="00F74934" w:rsidRDefault="00AA4ABF" w14:paraId="64CBDD0E" w14:textId="77777777">
      <w:pPr>
        <w:pStyle w:val="Prrafodelista"/>
        <w:spacing w:line="240" w:lineRule="auto"/>
        <w:ind w:left="993"/>
        <w:jc w:val="both"/>
        <w:rPr>
          <w:rFonts w:asciiTheme="majorHAnsi" w:hAnsiTheme="majorHAnsi" w:cstheme="minorHAnsi"/>
          <w:i/>
          <w:iCs/>
          <w:sz w:val="24"/>
          <w:szCs w:val="24"/>
        </w:rPr>
      </w:pPr>
    </w:p>
    <w:p w:rsidRPr="005B551E" w:rsidR="00AA4ABF" w:rsidP="00F74934" w:rsidRDefault="00AA4ABF" w14:paraId="7BEC401E" w14:textId="77777777">
      <w:pPr>
        <w:pStyle w:val="Prrafodelista"/>
        <w:numPr>
          <w:ilvl w:val="0"/>
          <w:numId w:val="13"/>
        </w:numPr>
        <w:spacing w:after="160" w:line="240" w:lineRule="auto"/>
        <w:ind w:left="993"/>
        <w:jc w:val="both"/>
        <w:rPr>
          <w:rFonts w:asciiTheme="majorHAnsi" w:hAnsiTheme="majorHAnsi" w:cstheme="minorHAnsi"/>
          <w:b/>
          <w:i/>
          <w:iCs/>
          <w:sz w:val="24"/>
          <w:szCs w:val="24"/>
        </w:rPr>
      </w:pPr>
      <w:r w:rsidRPr="005B551E">
        <w:rPr>
          <w:rFonts w:asciiTheme="majorHAnsi" w:hAnsiTheme="majorHAnsi" w:cstheme="minorHAnsi"/>
          <w:i/>
          <w:iCs/>
          <w:sz w:val="24"/>
          <w:szCs w:val="24"/>
        </w:rPr>
        <w:t>Bien mueble, maquinaria fijada permanentemente al terreno, excepto instrumento financiero</w:t>
      </w:r>
    </w:p>
    <w:p w:rsidRPr="005B551E" w:rsidR="00AA4ABF" w:rsidP="00F74934" w:rsidRDefault="00AA4ABF" w14:paraId="3164BD87" w14:textId="77777777">
      <w:pPr>
        <w:pStyle w:val="Prrafodelista"/>
        <w:spacing w:line="240" w:lineRule="auto"/>
        <w:ind w:left="992"/>
        <w:jc w:val="both"/>
        <w:rPr>
          <w:rFonts w:asciiTheme="majorHAnsi" w:hAnsiTheme="majorHAnsi" w:cstheme="minorHAnsi"/>
          <w:i/>
          <w:iCs/>
          <w:sz w:val="24"/>
          <w:szCs w:val="24"/>
        </w:rPr>
      </w:pPr>
      <w:r w:rsidRPr="005B551E">
        <w:rPr>
          <w:rFonts w:asciiTheme="majorHAnsi" w:hAnsiTheme="majorHAnsi" w:cstheme="minorHAnsi"/>
          <w:i/>
          <w:iCs/>
          <w:sz w:val="24"/>
          <w:szCs w:val="24"/>
        </w:rPr>
        <w:t>El avalúo debe indicar el año de fabricación, el grado de mantenimiento o conservación en que se encuentra el bien y su grado de liquidez.</w:t>
      </w:r>
    </w:p>
    <w:p w:rsidRPr="005B551E" w:rsidR="00AA4ABF" w:rsidP="00F74934" w:rsidRDefault="00AA4ABF" w14:paraId="00C7BCFD" w14:textId="77777777">
      <w:pPr>
        <w:pStyle w:val="Prrafodelista"/>
        <w:spacing w:line="240" w:lineRule="auto"/>
        <w:ind w:left="992"/>
        <w:jc w:val="both"/>
        <w:rPr>
          <w:rFonts w:asciiTheme="majorHAnsi" w:hAnsiTheme="majorHAnsi" w:cstheme="minorHAnsi"/>
          <w:i/>
          <w:iCs/>
          <w:sz w:val="24"/>
          <w:szCs w:val="24"/>
        </w:rPr>
      </w:pPr>
    </w:p>
    <w:p w:rsidRPr="005B551E" w:rsidR="00AA4ABF" w:rsidP="00F74934" w:rsidRDefault="00AA4ABF" w14:paraId="09A9DA54" w14:textId="77777777">
      <w:pPr>
        <w:pStyle w:val="Prrafodelista"/>
        <w:numPr>
          <w:ilvl w:val="0"/>
          <w:numId w:val="13"/>
        </w:numPr>
        <w:spacing w:after="160" w:line="240" w:lineRule="auto"/>
        <w:ind w:left="993"/>
        <w:jc w:val="both"/>
        <w:rPr>
          <w:rFonts w:asciiTheme="majorHAnsi" w:hAnsiTheme="majorHAnsi" w:cstheme="minorHAnsi"/>
          <w:i/>
          <w:iCs/>
          <w:sz w:val="24"/>
          <w:szCs w:val="24"/>
        </w:rPr>
      </w:pPr>
      <w:r w:rsidRPr="005B551E">
        <w:rPr>
          <w:rFonts w:asciiTheme="majorHAnsi" w:hAnsiTheme="majorHAnsi" w:cstheme="minorHAnsi"/>
          <w:i/>
          <w:iCs/>
          <w:sz w:val="24"/>
          <w:szCs w:val="24"/>
        </w:rPr>
        <w:t>Instrumento financiero</w:t>
      </w:r>
    </w:p>
    <w:p w:rsidRPr="005B551E" w:rsidR="00AA4ABF" w:rsidP="00F74934" w:rsidRDefault="00AA4ABF" w14:paraId="542986A2" w14:textId="77777777">
      <w:pPr>
        <w:pStyle w:val="Prrafodelista"/>
        <w:spacing w:line="240" w:lineRule="auto"/>
        <w:ind w:left="993"/>
        <w:jc w:val="both"/>
        <w:rPr>
          <w:rFonts w:asciiTheme="majorHAnsi" w:hAnsiTheme="majorHAnsi" w:cstheme="minorHAnsi"/>
          <w:i/>
          <w:iCs/>
          <w:sz w:val="24"/>
          <w:szCs w:val="24"/>
        </w:rPr>
      </w:pPr>
      <w:r w:rsidRPr="005B551E">
        <w:rPr>
          <w:rFonts w:asciiTheme="majorHAnsi" w:hAnsiTheme="majorHAnsi" w:cstheme="minorHAnsi"/>
          <w:i/>
          <w:iCs/>
          <w:sz w:val="24"/>
          <w:szCs w:val="24"/>
        </w:rPr>
        <w:t>El valor de mercado es el precio al cual se negocia en una bolsa de valores, el valor facial en caso de valores no negociables en bolsa o el valor intrínseco de la participación en caso de fondos de inversión abiertos.</w:t>
      </w:r>
    </w:p>
    <w:p w:rsidRPr="005B551E" w:rsidR="00AA4ABF" w:rsidP="00F74934" w:rsidRDefault="00AA4ABF" w14:paraId="581ECA15" w14:textId="77777777">
      <w:pPr>
        <w:pStyle w:val="Prrafodelista"/>
        <w:spacing w:line="240" w:lineRule="auto"/>
        <w:ind w:left="993"/>
        <w:jc w:val="both"/>
        <w:rPr>
          <w:rFonts w:asciiTheme="majorHAnsi" w:hAnsiTheme="majorHAnsi" w:cstheme="minorHAnsi"/>
          <w:i/>
          <w:iCs/>
          <w:sz w:val="24"/>
          <w:szCs w:val="24"/>
        </w:rPr>
      </w:pPr>
    </w:p>
    <w:p w:rsidRPr="005B551E" w:rsidR="00AA4ABF" w:rsidP="00F74934" w:rsidRDefault="00AA4ABF" w14:paraId="303B65E4" w14:textId="77777777">
      <w:pPr>
        <w:pStyle w:val="Prrafodelista"/>
        <w:numPr>
          <w:ilvl w:val="0"/>
          <w:numId w:val="13"/>
        </w:numPr>
        <w:spacing w:after="160" w:line="240" w:lineRule="auto"/>
        <w:ind w:left="993"/>
        <w:jc w:val="both"/>
        <w:rPr>
          <w:rFonts w:asciiTheme="majorHAnsi" w:hAnsiTheme="majorHAnsi" w:cstheme="minorHAnsi"/>
          <w:i/>
          <w:iCs/>
          <w:sz w:val="24"/>
          <w:szCs w:val="24"/>
        </w:rPr>
      </w:pPr>
      <w:r w:rsidRPr="005B551E">
        <w:rPr>
          <w:rFonts w:asciiTheme="majorHAnsi" w:hAnsiTheme="majorHAnsi" w:cstheme="minorHAnsi"/>
          <w:i/>
          <w:iCs/>
          <w:sz w:val="24"/>
          <w:szCs w:val="24"/>
        </w:rPr>
        <w:t>Fianzas, Avales, Facturas cedidas, Documentos emitidos por empresas transportadoras y Cartas de Crédito</w:t>
      </w:r>
    </w:p>
    <w:p w:rsidRPr="005B551E" w:rsidR="00AA4ABF" w:rsidP="00F74934" w:rsidRDefault="00AA4ABF" w14:paraId="71C0A2A2" w14:textId="77777777">
      <w:pPr>
        <w:pStyle w:val="Prrafodelista"/>
        <w:spacing w:line="240" w:lineRule="auto"/>
        <w:ind w:left="993"/>
        <w:jc w:val="both"/>
        <w:rPr>
          <w:rFonts w:asciiTheme="majorHAnsi" w:hAnsiTheme="majorHAnsi" w:cstheme="minorHAnsi"/>
          <w:i/>
          <w:iCs/>
          <w:sz w:val="24"/>
          <w:szCs w:val="24"/>
        </w:rPr>
      </w:pPr>
      <w:r w:rsidRPr="005B551E">
        <w:rPr>
          <w:rFonts w:asciiTheme="majorHAnsi" w:hAnsiTheme="majorHAnsi" w:cstheme="minorHAnsi"/>
          <w:i/>
          <w:iCs/>
          <w:sz w:val="24"/>
          <w:szCs w:val="24"/>
        </w:rPr>
        <w:t>El valor será el monto facial consignado en el respectivo documento de garantía.”</w:t>
      </w:r>
    </w:p>
    <w:p w:rsidRPr="005B551E" w:rsidR="00AA4ABF" w:rsidP="00F74934" w:rsidRDefault="00AA4ABF" w14:paraId="062C13A5" w14:textId="77777777">
      <w:pPr>
        <w:pStyle w:val="Prrafodelista"/>
        <w:spacing w:line="240" w:lineRule="auto"/>
        <w:ind w:left="993"/>
        <w:jc w:val="both"/>
        <w:rPr>
          <w:rFonts w:asciiTheme="majorHAnsi" w:hAnsiTheme="majorHAnsi" w:cstheme="minorHAnsi"/>
          <w:i/>
          <w:iCs/>
          <w:sz w:val="24"/>
          <w:szCs w:val="24"/>
        </w:rPr>
      </w:pPr>
    </w:p>
    <w:p w:rsidRPr="005B551E" w:rsidR="00AA4ABF" w:rsidP="00F74934" w:rsidRDefault="00AA4ABF" w14:paraId="63FA5EE8" w14:textId="77777777">
      <w:pPr>
        <w:pStyle w:val="Prrafodelista"/>
        <w:spacing w:line="240" w:lineRule="auto"/>
        <w:ind w:left="993"/>
        <w:jc w:val="both"/>
        <w:rPr>
          <w:rFonts w:asciiTheme="majorHAnsi" w:hAnsiTheme="majorHAnsi" w:cstheme="minorHAnsi"/>
          <w:i/>
          <w:iCs/>
          <w:sz w:val="24"/>
          <w:szCs w:val="24"/>
        </w:rPr>
      </w:pPr>
    </w:p>
    <w:p w:rsidRPr="005B551E" w:rsidR="00AA4ABF" w:rsidP="00F74934" w:rsidRDefault="00AA4ABF" w14:paraId="1717CC71" w14:textId="2346D80F">
      <w:pPr>
        <w:pStyle w:val="Prrafodelista"/>
        <w:numPr>
          <w:ilvl w:val="0"/>
          <w:numId w:val="5"/>
        </w:numPr>
        <w:spacing w:after="160" w:line="240" w:lineRule="auto"/>
        <w:jc w:val="both"/>
        <w:rPr>
          <w:rFonts w:asciiTheme="majorHAnsi" w:hAnsiTheme="majorHAnsi" w:cstheme="minorHAnsi"/>
          <w:i/>
          <w:iCs/>
          <w:sz w:val="24"/>
          <w:szCs w:val="24"/>
        </w:rPr>
      </w:pPr>
      <w:r w:rsidRPr="005B551E">
        <w:rPr>
          <w:rFonts w:asciiTheme="majorHAnsi" w:hAnsiTheme="majorHAnsi" w:cstheme="minorHAnsi"/>
          <w:b/>
          <w:sz w:val="24"/>
          <w:szCs w:val="24"/>
        </w:rPr>
        <w:t>Modificar el título y objetivo de la Sección VIII. METODOLOGÍAS DE ANÁLISIS DE ESTRÉS DE CAPACIDAD DE PAGO, de conformidad con el siguiente texto:</w:t>
      </w:r>
    </w:p>
    <w:p w:rsidRPr="005B551E" w:rsidR="00AA4ABF" w:rsidP="00F74934" w:rsidRDefault="00AA4ABF" w14:paraId="6FDB8CF1" w14:textId="77777777">
      <w:pPr>
        <w:pStyle w:val="Prrafodelista"/>
        <w:spacing w:after="160" w:line="240" w:lineRule="auto"/>
        <w:ind w:left="360"/>
        <w:jc w:val="both"/>
        <w:rPr>
          <w:rFonts w:asciiTheme="majorHAnsi" w:hAnsiTheme="majorHAnsi" w:cstheme="minorHAnsi"/>
          <w:i/>
          <w:iCs/>
          <w:sz w:val="24"/>
          <w:szCs w:val="24"/>
        </w:rPr>
      </w:pPr>
    </w:p>
    <w:p w:rsidRPr="005B551E" w:rsidR="00AA4ABF" w:rsidP="00F74934" w:rsidRDefault="00AA4ABF" w14:paraId="070ABC95" w14:textId="6B527AC6">
      <w:pPr>
        <w:pStyle w:val="Prrafodelista"/>
        <w:spacing w:line="240" w:lineRule="auto"/>
        <w:ind w:left="360"/>
        <w:jc w:val="both"/>
        <w:rPr>
          <w:rFonts w:asciiTheme="majorHAnsi" w:hAnsiTheme="majorHAnsi" w:cstheme="minorHAnsi"/>
          <w:b/>
          <w:bCs/>
          <w:i/>
          <w:iCs/>
          <w:sz w:val="24"/>
          <w:szCs w:val="24"/>
        </w:rPr>
      </w:pPr>
      <w:r w:rsidRPr="005B551E">
        <w:rPr>
          <w:rFonts w:asciiTheme="majorHAnsi" w:hAnsiTheme="majorHAnsi" w:cstheme="minorHAnsi"/>
          <w:b/>
          <w:bCs/>
          <w:i/>
          <w:iCs/>
          <w:sz w:val="24"/>
          <w:szCs w:val="24"/>
        </w:rPr>
        <w:t xml:space="preserve">“VIII. METODOLOGÍAS DE ANÁLISIS DE </w:t>
      </w:r>
      <w:proofErr w:type="gramStart"/>
      <w:r w:rsidRPr="005B551E">
        <w:rPr>
          <w:rFonts w:asciiTheme="majorHAnsi" w:hAnsiTheme="majorHAnsi" w:cstheme="minorHAnsi"/>
          <w:b/>
          <w:bCs/>
          <w:i/>
          <w:iCs/>
          <w:sz w:val="24"/>
          <w:szCs w:val="24"/>
        </w:rPr>
        <w:t>ESTRÉS .</w:t>
      </w:r>
      <w:proofErr w:type="gramEnd"/>
    </w:p>
    <w:p w:rsidRPr="005B551E" w:rsidR="00F74934" w:rsidP="00F74934" w:rsidRDefault="00F74934" w14:paraId="563CFDD5" w14:textId="77777777">
      <w:pPr>
        <w:pStyle w:val="Prrafodelista"/>
        <w:spacing w:line="240" w:lineRule="auto"/>
        <w:ind w:left="360"/>
        <w:jc w:val="both"/>
        <w:rPr>
          <w:rFonts w:asciiTheme="majorHAnsi" w:hAnsiTheme="majorHAnsi" w:cstheme="minorHAnsi"/>
          <w:b/>
          <w:bCs/>
          <w:i/>
          <w:iCs/>
          <w:sz w:val="24"/>
          <w:szCs w:val="24"/>
        </w:rPr>
      </w:pPr>
    </w:p>
    <w:p w:rsidRPr="005B551E" w:rsidR="00AA4ABF" w:rsidP="00F74934" w:rsidRDefault="00AA4ABF" w14:paraId="41F15614" w14:textId="77777777">
      <w:pPr>
        <w:pStyle w:val="Prrafodelista"/>
        <w:spacing w:line="240" w:lineRule="auto"/>
        <w:ind w:left="360"/>
        <w:jc w:val="both"/>
        <w:rPr>
          <w:rFonts w:asciiTheme="majorHAnsi" w:hAnsiTheme="majorHAnsi" w:cstheme="minorHAnsi"/>
          <w:i/>
          <w:iCs/>
          <w:sz w:val="24"/>
          <w:szCs w:val="24"/>
        </w:rPr>
      </w:pPr>
      <w:r w:rsidRPr="005B551E">
        <w:rPr>
          <w:rFonts w:asciiTheme="majorHAnsi" w:hAnsiTheme="majorHAnsi" w:cstheme="minorHAnsi"/>
          <w:b/>
          <w:bCs/>
          <w:i/>
          <w:iCs/>
          <w:sz w:val="24"/>
          <w:szCs w:val="24"/>
        </w:rPr>
        <w:t>Objetivo:</w:t>
      </w:r>
      <w:r w:rsidRPr="005B551E">
        <w:rPr>
          <w:rFonts w:asciiTheme="majorHAnsi" w:hAnsiTheme="majorHAnsi" w:cstheme="minorHAnsi"/>
          <w:i/>
          <w:iCs/>
          <w:sz w:val="24"/>
          <w:szCs w:val="24"/>
        </w:rPr>
        <w:t xml:space="preserve"> Establecer aspectos mínimos a considerar en el desarrollo de metodologías de análisis de estrés de capacidad de pago. de los deudores clasificados en los segmentos empresarial 1 y 2.”</w:t>
      </w:r>
    </w:p>
    <w:p w:rsidRPr="005B551E" w:rsidR="00AA4ABF" w:rsidP="00F74934" w:rsidRDefault="00AA4ABF" w14:paraId="62800EB6" w14:textId="77777777">
      <w:pPr>
        <w:pStyle w:val="Prrafodelista"/>
        <w:spacing w:line="240" w:lineRule="auto"/>
        <w:ind w:left="360"/>
        <w:jc w:val="both"/>
        <w:rPr>
          <w:rFonts w:asciiTheme="majorHAnsi" w:hAnsiTheme="majorHAnsi" w:cstheme="minorHAnsi"/>
          <w:sz w:val="24"/>
          <w:szCs w:val="24"/>
        </w:rPr>
      </w:pPr>
    </w:p>
    <w:p w:rsidRPr="005B551E" w:rsidR="00AA4ABF" w:rsidP="00F74934" w:rsidRDefault="00AA4ABF" w14:paraId="65C146F7" w14:textId="77777777">
      <w:pPr>
        <w:pStyle w:val="Prrafodelista"/>
        <w:numPr>
          <w:ilvl w:val="0"/>
          <w:numId w:val="5"/>
        </w:numPr>
        <w:spacing w:after="160" w:line="240" w:lineRule="auto"/>
        <w:jc w:val="both"/>
        <w:rPr>
          <w:rFonts w:asciiTheme="majorHAnsi" w:hAnsiTheme="majorHAnsi" w:cstheme="minorHAnsi"/>
          <w:i/>
          <w:iCs/>
          <w:sz w:val="24"/>
          <w:szCs w:val="24"/>
        </w:rPr>
      </w:pPr>
      <w:r w:rsidRPr="005B551E">
        <w:rPr>
          <w:rFonts w:asciiTheme="majorHAnsi" w:hAnsiTheme="majorHAnsi" w:cstheme="minorHAnsi"/>
          <w:b/>
          <w:sz w:val="24"/>
          <w:szCs w:val="24"/>
        </w:rPr>
        <w:lastRenderedPageBreak/>
        <w:t>Adicionar un apartado D. “Otras exposiciones de riesgo de crédito” a la Sección VIII. METODOLOGÍAS DE ANÁLISIS DE ESTRÉS, de conformidad con el siguiente texto:</w:t>
      </w:r>
    </w:p>
    <w:p w:rsidRPr="005B551E" w:rsidR="00AA4ABF" w:rsidP="00F74934" w:rsidRDefault="00AA4ABF" w14:paraId="3298B06B" w14:textId="77777777">
      <w:pPr>
        <w:spacing w:line="240" w:lineRule="auto"/>
        <w:ind w:left="360"/>
        <w:contextualSpacing/>
        <w:rPr>
          <w:rFonts w:asciiTheme="majorHAnsi" w:hAnsiTheme="majorHAnsi" w:cstheme="minorHAnsi"/>
          <w:b/>
          <w:bCs/>
          <w:i/>
          <w:iCs/>
          <w:sz w:val="24"/>
        </w:rPr>
      </w:pPr>
      <w:r w:rsidRPr="005B551E">
        <w:rPr>
          <w:rFonts w:asciiTheme="majorHAnsi" w:hAnsiTheme="majorHAnsi" w:cstheme="minorHAnsi"/>
          <w:b/>
          <w:bCs/>
          <w:i/>
          <w:iCs/>
          <w:sz w:val="24"/>
        </w:rPr>
        <w:t>“D. Otras exposiciones de riesgo de crédito</w:t>
      </w:r>
    </w:p>
    <w:p w:rsidRPr="005B551E" w:rsidR="00AA4ABF" w:rsidP="00F74934" w:rsidRDefault="00AA4ABF" w14:paraId="26B4CF6A" w14:textId="77777777">
      <w:pPr>
        <w:spacing w:line="240" w:lineRule="auto"/>
        <w:ind w:left="360"/>
        <w:contextualSpacing/>
        <w:rPr>
          <w:rFonts w:asciiTheme="majorHAnsi" w:hAnsiTheme="majorHAnsi" w:cstheme="minorHAnsi"/>
          <w:i/>
          <w:iCs/>
          <w:sz w:val="24"/>
        </w:rPr>
      </w:pPr>
      <w:r w:rsidRPr="005B551E">
        <w:rPr>
          <w:rFonts w:asciiTheme="majorHAnsi" w:hAnsiTheme="majorHAnsi" w:cstheme="minorHAnsi"/>
          <w:i/>
          <w:iCs/>
          <w:sz w:val="24"/>
        </w:rPr>
        <w:t>En el caso que sean relevantes las exposiciones con el exterior, la entidad debe incluir en su prueba de estrés los escenarios apropiados para reflejar el riesgo país y el riesgo de transferencia, así como el impacto de las concentraciones de riesgo significativas, a criterio de la entidad.”</w:t>
      </w:r>
    </w:p>
    <w:p w:rsidRPr="005B551E" w:rsidR="00AA4ABF" w:rsidP="00F74934" w:rsidRDefault="00AA4ABF" w14:paraId="0185E77C" w14:textId="77777777">
      <w:pPr>
        <w:pStyle w:val="Prrafodelista"/>
        <w:spacing w:line="240" w:lineRule="auto"/>
        <w:ind w:left="360"/>
        <w:jc w:val="both"/>
        <w:rPr>
          <w:rFonts w:asciiTheme="majorHAnsi" w:hAnsiTheme="majorHAnsi" w:cstheme="minorHAnsi"/>
          <w:sz w:val="24"/>
          <w:szCs w:val="24"/>
        </w:rPr>
      </w:pPr>
    </w:p>
    <w:p w:rsidRPr="005B551E" w:rsidR="00AA4ABF" w:rsidP="00F74934" w:rsidRDefault="00AA4ABF" w14:paraId="090E2896" w14:textId="77777777">
      <w:pPr>
        <w:pStyle w:val="Prrafodelista"/>
        <w:numPr>
          <w:ilvl w:val="0"/>
          <w:numId w:val="5"/>
        </w:numPr>
        <w:spacing w:after="160" w:line="240" w:lineRule="auto"/>
        <w:jc w:val="both"/>
        <w:rPr>
          <w:rFonts w:asciiTheme="majorHAnsi" w:hAnsiTheme="majorHAnsi" w:cstheme="minorHAnsi"/>
          <w:i/>
          <w:iCs/>
          <w:sz w:val="24"/>
          <w:szCs w:val="24"/>
        </w:rPr>
      </w:pPr>
      <w:r w:rsidRPr="005B551E">
        <w:rPr>
          <w:rFonts w:asciiTheme="majorHAnsi" w:hAnsiTheme="majorHAnsi" w:cstheme="minorHAnsi"/>
          <w:b/>
          <w:sz w:val="24"/>
          <w:szCs w:val="24"/>
        </w:rPr>
        <w:t>Derogar la Sección IX. “CULTIVOS PARA LOS CUALES UNA OPERACIÓN CREDITICIA CON PLAZO MENOR A 360 DÍAS CON PAGO ÚNICO DE PRINCIPAL A LA FECHA DE VENCIMIENTO NO SE CONSIDERA OPERACIÓN ESPECIAL”.</w:t>
      </w:r>
    </w:p>
    <w:p w:rsidRPr="005B551E" w:rsidR="00AA4ABF" w:rsidP="00F74934" w:rsidRDefault="00AA4ABF" w14:paraId="7F37C03B" w14:textId="77777777">
      <w:pPr>
        <w:pStyle w:val="Prrafodelista"/>
        <w:spacing w:line="240" w:lineRule="auto"/>
        <w:ind w:left="360"/>
        <w:jc w:val="both"/>
        <w:rPr>
          <w:rFonts w:asciiTheme="majorHAnsi" w:hAnsiTheme="majorHAnsi" w:cstheme="minorHAnsi"/>
          <w:i/>
          <w:iCs/>
          <w:sz w:val="24"/>
          <w:szCs w:val="24"/>
        </w:rPr>
      </w:pPr>
    </w:p>
    <w:p w:rsidRPr="005B551E" w:rsidR="00AA4ABF" w:rsidP="00F74934" w:rsidRDefault="00AA4ABF" w14:paraId="18D6968D" w14:textId="77777777">
      <w:pPr>
        <w:pStyle w:val="Prrafodelista"/>
        <w:numPr>
          <w:ilvl w:val="0"/>
          <w:numId w:val="5"/>
        </w:numPr>
        <w:spacing w:after="160" w:line="240" w:lineRule="auto"/>
        <w:jc w:val="both"/>
        <w:rPr>
          <w:rFonts w:asciiTheme="majorHAnsi" w:hAnsiTheme="majorHAnsi" w:cstheme="minorHAnsi"/>
          <w:i/>
          <w:iCs/>
          <w:sz w:val="24"/>
          <w:szCs w:val="24"/>
        </w:rPr>
      </w:pPr>
      <w:r w:rsidRPr="005B551E">
        <w:rPr>
          <w:rFonts w:asciiTheme="majorHAnsi" w:hAnsiTheme="majorHAnsi" w:cstheme="minorHAnsi"/>
          <w:b/>
          <w:sz w:val="24"/>
          <w:szCs w:val="24"/>
        </w:rPr>
        <w:t xml:space="preserve">Adicionar la Sección XI. </w:t>
      </w:r>
      <w:r w:rsidRPr="005B551E">
        <w:rPr>
          <w:rFonts w:asciiTheme="majorHAnsi" w:hAnsiTheme="majorHAnsi" w:cstheme="minorHAnsi"/>
          <w:b/>
          <w:i/>
          <w:iCs/>
          <w:sz w:val="24"/>
          <w:szCs w:val="24"/>
        </w:rPr>
        <w:t>“CRITERIO DE CLASIFICACIÓN DE LAS ETAPAS”,</w:t>
      </w:r>
      <w:r w:rsidRPr="005B551E">
        <w:rPr>
          <w:rFonts w:asciiTheme="majorHAnsi" w:hAnsiTheme="majorHAnsi" w:cstheme="minorHAnsi"/>
          <w:b/>
          <w:sz w:val="24"/>
          <w:szCs w:val="24"/>
        </w:rPr>
        <w:t xml:space="preserve"> de conformidad con el siguiente texto:</w:t>
      </w:r>
    </w:p>
    <w:p w:rsidRPr="005B551E" w:rsidR="00AA4ABF" w:rsidP="00F74934" w:rsidRDefault="00AA4ABF" w14:paraId="7B5A6BDF" w14:textId="77777777">
      <w:pPr>
        <w:pStyle w:val="Prrafodelista"/>
        <w:spacing w:line="240" w:lineRule="auto"/>
        <w:ind w:left="360"/>
        <w:jc w:val="both"/>
        <w:rPr>
          <w:rFonts w:asciiTheme="majorHAnsi" w:hAnsiTheme="majorHAnsi" w:cstheme="minorHAnsi"/>
          <w:i/>
          <w:iCs/>
          <w:sz w:val="24"/>
          <w:szCs w:val="24"/>
        </w:rPr>
      </w:pPr>
      <w:r w:rsidRPr="005B551E">
        <w:rPr>
          <w:rFonts w:asciiTheme="majorHAnsi" w:hAnsiTheme="majorHAnsi" w:cstheme="minorHAnsi"/>
          <w:b/>
          <w:i/>
          <w:iCs/>
          <w:sz w:val="24"/>
          <w:szCs w:val="24"/>
        </w:rPr>
        <w:t xml:space="preserve">Objetivo Específico: </w:t>
      </w:r>
      <w:r w:rsidRPr="005B551E">
        <w:rPr>
          <w:rFonts w:asciiTheme="majorHAnsi" w:hAnsiTheme="majorHAnsi" w:cstheme="minorHAnsi"/>
          <w:i/>
          <w:iCs/>
          <w:sz w:val="24"/>
          <w:szCs w:val="24"/>
        </w:rPr>
        <w:t>Establecer criterios para clasificar las operaciones de la cartera de crédito en las etapas consistentes con NIIF 9.</w:t>
      </w:r>
    </w:p>
    <w:p w:rsidRPr="005B551E" w:rsidR="00AA4ABF" w:rsidP="00F74934" w:rsidRDefault="00AA4ABF" w14:paraId="56E9433F" w14:textId="77777777">
      <w:pPr>
        <w:pStyle w:val="Prrafodelista"/>
        <w:spacing w:line="240" w:lineRule="auto"/>
        <w:ind w:left="360"/>
        <w:jc w:val="both"/>
        <w:rPr>
          <w:rFonts w:asciiTheme="majorHAnsi" w:hAnsiTheme="majorHAnsi" w:cstheme="minorHAnsi"/>
          <w:i/>
          <w:iCs/>
          <w:sz w:val="24"/>
          <w:szCs w:val="24"/>
        </w:rPr>
      </w:pPr>
    </w:p>
    <w:p w:rsidRPr="005B551E" w:rsidR="00AA4ABF" w:rsidP="00F74934" w:rsidRDefault="00AA4ABF" w14:paraId="4DC59DD4" w14:textId="77777777">
      <w:pPr>
        <w:pStyle w:val="Prrafodelista"/>
        <w:numPr>
          <w:ilvl w:val="0"/>
          <w:numId w:val="14"/>
        </w:numPr>
        <w:spacing w:after="160" w:line="240" w:lineRule="auto"/>
        <w:ind w:left="709"/>
        <w:jc w:val="both"/>
        <w:rPr>
          <w:rFonts w:asciiTheme="majorHAnsi" w:hAnsiTheme="majorHAnsi" w:cstheme="minorHAnsi"/>
          <w:i/>
          <w:iCs/>
          <w:sz w:val="24"/>
          <w:szCs w:val="24"/>
        </w:rPr>
      </w:pPr>
      <w:r w:rsidRPr="005B551E">
        <w:rPr>
          <w:rFonts w:asciiTheme="majorHAnsi" w:hAnsiTheme="majorHAnsi" w:cstheme="minorHAnsi"/>
          <w:b/>
          <w:i/>
          <w:iCs/>
          <w:sz w:val="24"/>
          <w:szCs w:val="24"/>
        </w:rPr>
        <w:t>Operaciones en riesgo normal (Etapa 1):</w:t>
      </w:r>
    </w:p>
    <w:p w:rsidRPr="005B551E" w:rsidR="00AA4ABF" w:rsidP="00F74934" w:rsidRDefault="00AA4ABF" w14:paraId="3144B4F8" w14:textId="77777777">
      <w:pPr>
        <w:pStyle w:val="Prrafodelista"/>
        <w:spacing w:line="240" w:lineRule="auto"/>
        <w:ind w:left="709"/>
        <w:jc w:val="both"/>
        <w:rPr>
          <w:rFonts w:asciiTheme="majorHAnsi" w:hAnsiTheme="majorHAnsi" w:cstheme="minorHAnsi"/>
          <w:i/>
          <w:iCs/>
          <w:sz w:val="24"/>
          <w:szCs w:val="24"/>
        </w:rPr>
      </w:pPr>
      <w:r w:rsidRPr="005B551E">
        <w:rPr>
          <w:rFonts w:asciiTheme="majorHAnsi" w:hAnsiTheme="majorHAnsi" w:cstheme="minorHAnsi"/>
          <w:i/>
          <w:iCs/>
          <w:sz w:val="24"/>
          <w:szCs w:val="24"/>
        </w:rPr>
        <w:t>Se incluyen las operaciones sin evidencia de incremento significativo de riesgo de crédito desde su reconocimiento inicial.</w:t>
      </w:r>
    </w:p>
    <w:p w:rsidRPr="005B551E" w:rsidR="00AA4ABF" w:rsidP="00F74934" w:rsidRDefault="00AA4ABF" w14:paraId="33DF5799"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1A3069B1" w14:textId="77777777">
      <w:pPr>
        <w:pStyle w:val="Prrafodelista"/>
        <w:numPr>
          <w:ilvl w:val="0"/>
          <w:numId w:val="14"/>
        </w:numPr>
        <w:spacing w:after="160" w:line="240" w:lineRule="auto"/>
        <w:ind w:left="709"/>
        <w:jc w:val="both"/>
        <w:rPr>
          <w:rFonts w:asciiTheme="majorHAnsi" w:hAnsiTheme="majorHAnsi" w:cstheme="minorHAnsi"/>
          <w:i/>
          <w:iCs/>
          <w:sz w:val="24"/>
          <w:szCs w:val="24"/>
        </w:rPr>
      </w:pPr>
      <w:r w:rsidRPr="005B551E">
        <w:rPr>
          <w:rFonts w:asciiTheme="majorHAnsi" w:hAnsiTheme="majorHAnsi" w:cstheme="minorHAnsi"/>
          <w:b/>
          <w:i/>
          <w:iCs/>
          <w:sz w:val="24"/>
          <w:szCs w:val="24"/>
        </w:rPr>
        <w:t>Operaciones en riesgo en vigilancia especial (Etapa 2):</w:t>
      </w:r>
    </w:p>
    <w:p w:rsidRPr="005B551E" w:rsidR="00AA4ABF" w:rsidP="00F74934" w:rsidRDefault="00AA4ABF" w14:paraId="4E536E5C" w14:textId="77777777">
      <w:pPr>
        <w:pStyle w:val="Prrafodelista"/>
        <w:spacing w:line="240" w:lineRule="auto"/>
        <w:ind w:left="709"/>
        <w:jc w:val="both"/>
        <w:rPr>
          <w:rFonts w:asciiTheme="majorHAnsi" w:hAnsiTheme="majorHAnsi" w:cstheme="minorHAnsi"/>
          <w:i/>
          <w:iCs/>
          <w:sz w:val="24"/>
          <w:szCs w:val="24"/>
        </w:rPr>
      </w:pPr>
      <w:r w:rsidRPr="005B551E">
        <w:rPr>
          <w:rFonts w:asciiTheme="majorHAnsi" w:hAnsiTheme="majorHAnsi" w:cstheme="minorHAnsi"/>
          <w:i/>
          <w:iCs/>
          <w:sz w:val="24"/>
          <w:szCs w:val="24"/>
        </w:rPr>
        <w:t>Corresponde a las operaciones que presentan un incremento significativo de riesgo de crédito respecto a la valoración de riesgo realizada en el reconocimiento inicial de la operación, sin llegar a ser operaciones dudosas o fallidas. La clasificación se realizará por el importe total.</w:t>
      </w:r>
    </w:p>
    <w:p w:rsidRPr="005B551E" w:rsidR="00AA4ABF" w:rsidP="00F74934" w:rsidRDefault="00AA4ABF" w14:paraId="71BDAF10" w14:textId="77777777">
      <w:pPr>
        <w:pStyle w:val="Prrafodelista"/>
        <w:spacing w:line="240" w:lineRule="auto"/>
        <w:ind w:left="709"/>
        <w:jc w:val="both"/>
        <w:rPr>
          <w:rFonts w:asciiTheme="majorHAnsi" w:hAnsiTheme="majorHAnsi" w:cstheme="minorHAnsi"/>
          <w:i/>
          <w:iCs/>
          <w:sz w:val="24"/>
          <w:szCs w:val="24"/>
        </w:rPr>
      </w:pPr>
      <w:r w:rsidRPr="005B551E">
        <w:rPr>
          <w:rFonts w:asciiTheme="majorHAnsi" w:hAnsiTheme="majorHAnsi" w:cstheme="minorHAnsi"/>
          <w:i/>
          <w:iCs/>
          <w:sz w:val="24"/>
          <w:szCs w:val="24"/>
        </w:rPr>
        <w:t>Algunos de los indicadores de incremento significativo de riesgo se describen a continuación:</w:t>
      </w:r>
    </w:p>
    <w:p w:rsidRPr="005B551E" w:rsidR="00AA4ABF" w:rsidP="00F74934" w:rsidRDefault="00AA4ABF" w14:paraId="14F1EB61"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1FDFB7BD" w14:textId="77777777">
      <w:pPr>
        <w:pStyle w:val="Prrafodelista"/>
        <w:spacing w:line="240" w:lineRule="auto"/>
        <w:ind w:left="709"/>
        <w:jc w:val="both"/>
        <w:rPr>
          <w:rFonts w:asciiTheme="majorHAnsi" w:hAnsiTheme="majorHAnsi" w:cstheme="minorHAnsi"/>
          <w:i/>
          <w:iCs/>
          <w:sz w:val="24"/>
          <w:szCs w:val="24"/>
        </w:rPr>
      </w:pPr>
      <w:r w:rsidRPr="005B551E">
        <w:rPr>
          <w:rFonts w:asciiTheme="majorHAnsi" w:hAnsiTheme="majorHAnsi" w:cstheme="minorHAnsi"/>
          <w:noProof/>
          <w:sz w:val="24"/>
          <w:szCs w:val="24"/>
          <w:lang w:eastAsia="es-CR"/>
        </w:rPr>
        <w:lastRenderedPageBreak/>
        <w:drawing>
          <wp:anchor distT="0" distB="0" distL="114300" distR="114300" simplePos="0" relativeHeight="251662336" behindDoc="1" locked="0" layoutInCell="1" allowOverlap="1" wp14:editId="777AD26A" wp14:anchorId="3EE522F4">
            <wp:simplePos x="0" y="0"/>
            <wp:positionH relativeFrom="margin">
              <wp:posOffset>876099</wp:posOffset>
            </wp:positionH>
            <wp:positionV relativeFrom="paragraph">
              <wp:posOffset>35006</wp:posOffset>
            </wp:positionV>
            <wp:extent cx="4224655" cy="3728085"/>
            <wp:effectExtent l="0" t="0" r="4445" b="0"/>
            <wp:wrapTight wrapText="bothSides">
              <wp:wrapPolygon edited="0">
                <wp:start x="21233" y="0"/>
                <wp:lineTo x="0" y="0"/>
                <wp:lineTo x="0" y="1766"/>
                <wp:lineTo x="2727" y="1766"/>
                <wp:lineTo x="0" y="2649"/>
                <wp:lineTo x="0" y="3532"/>
                <wp:lineTo x="584" y="4967"/>
                <wp:lineTo x="195" y="5408"/>
                <wp:lineTo x="97" y="7064"/>
                <wp:lineTo x="974" y="7064"/>
                <wp:lineTo x="0" y="8388"/>
                <wp:lineTo x="0" y="8499"/>
                <wp:lineTo x="877" y="10596"/>
                <wp:lineTo x="0" y="10596"/>
                <wp:lineTo x="0" y="15894"/>
                <wp:lineTo x="877" y="15894"/>
                <wp:lineTo x="195" y="16777"/>
                <wp:lineTo x="195" y="16997"/>
                <wp:lineTo x="974" y="17660"/>
                <wp:lineTo x="97" y="18874"/>
                <wp:lineTo x="0" y="19426"/>
                <wp:lineTo x="0" y="20861"/>
                <wp:lineTo x="21525" y="20861"/>
                <wp:lineTo x="21525" y="0"/>
                <wp:lineTo x="21233" y="0"/>
              </wp:wrapPolygon>
            </wp:wrapTight>
            <wp:docPr id="8" name="Imagen 5">
              <a:extLst xmlns:a="http://schemas.openxmlformats.org/drawingml/2006/main">
                <a:ext uri="{FF2B5EF4-FFF2-40B4-BE49-F238E27FC236}">
                  <a16:creationId xmlns:a16="http://schemas.microsoft.com/office/drawing/2014/main" id="{9F807235-59EA-4455-A633-7AB517E89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F807235-59EA-4455-A633-7AB517E89A3C}"/>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4655" cy="3728085"/>
                    </a:xfrm>
                    <a:prstGeom prst="rect">
                      <a:avLst/>
                    </a:prstGeom>
                    <a:noFill/>
                  </pic:spPr>
                </pic:pic>
              </a:graphicData>
            </a:graphic>
            <wp14:sizeRelH relativeFrom="page">
              <wp14:pctWidth>0</wp14:pctWidth>
            </wp14:sizeRelH>
            <wp14:sizeRelV relativeFrom="page">
              <wp14:pctHeight>0</wp14:pctHeight>
            </wp14:sizeRelV>
          </wp:anchor>
        </w:drawing>
      </w:r>
    </w:p>
    <w:p w:rsidRPr="005B551E" w:rsidR="00AA4ABF" w:rsidP="00F74934" w:rsidRDefault="00AA4ABF" w14:paraId="64989CC8"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4DC39DAA"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64846A02"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46E3B41B"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2881406F"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0191A6E3"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4BBC0DA8"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0864D2E8"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1EFBCA4D"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3C8CB268"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7CA50FBA"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63594B81"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73B2744B"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202458AF"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2D6AF9BB"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7BFB51B2"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737A26E7"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61E6F9FA" w14:textId="77777777">
      <w:pPr>
        <w:pStyle w:val="Prrafodelista"/>
        <w:spacing w:line="240" w:lineRule="auto"/>
        <w:ind w:left="709"/>
        <w:jc w:val="both"/>
        <w:rPr>
          <w:rFonts w:asciiTheme="majorHAnsi" w:hAnsiTheme="majorHAnsi" w:cstheme="minorHAnsi"/>
          <w:i/>
          <w:iCs/>
          <w:sz w:val="24"/>
          <w:szCs w:val="24"/>
        </w:rPr>
      </w:pPr>
    </w:p>
    <w:p w:rsidRPr="005B551E" w:rsidR="00AA4ABF" w:rsidP="00F74934" w:rsidRDefault="00AA4ABF" w14:paraId="7510DB3C" w14:textId="77777777">
      <w:pPr>
        <w:pStyle w:val="Prrafodelista"/>
        <w:numPr>
          <w:ilvl w:val="0"/>
          <w:numId w:val="14"/>
        </w:numPr>
        <w:spacing w:after="160" w:line="240" w:lineRule="auto"/>
        <w:ind w:left="709"/>
        <w:jc w:val="both"/>
        <w:rPr>
          <w:rFonts w:asciiTheme="majorHAnsi" w:hAnsiTheme="majorHAnsi" w:cstheme="minorHAnsi"/>
          <w:i/>
          <w:iCs/>
          <w:sz w:val="24"/>
          <w:szCs w:val="24"/>
        </w:rPr>
      </w:pPr>
      <w:r w:rsidRPr="005B551E">
        <w:rPr>
          <w:rFonts w:asciiTheme="majorHAnsi" w:hAnsiTheme="majorHAnsi" w:cstheme="minorHAnsi"/>
          <w:b/>
          <w:i/>
          <w:iCs/>
          <w:sz w:val="24"/>
          <w:szCs w:val="24"/>
        </w:rPr>
        <w:t>Operaciones en riesgo dudoso (Etapa 3):</w:t>
      </w:r>
    </w:p>
    <w:p w:rsidRPr="005B551E" w:rsidR="00AA4ABF" w:rsidP="00F74934" w:rsidRDefault="00AA4ABF" w14:paraId="22B790D3" w14:textId="77777777">
      <w:pPr>
        <w:pStyle w:val="Prrafodelista"/>
        <w:spacing w:line="240" w:lineRule="auto"/>
        <w:ind w:left="708"/>
        <w:jc w:val="both"/>
        <w:rPr>
          <w:rFonts w:asciiTheme="majorHAnsi" w:hAnsiTheme="majorHAnsi" w:cstheme="minorHAnsi"/>
          <w:i/>
          <w:iCs/>
          <w:sz w:val="24"/>
          <w:szCs w:val="24"/>
        </w:rPr>
      </w:pPr>
      <w:r w:rsidRPr="005B551E">
        <w:rPr>
          <w:rFonts w:asciiTheme="majorHAnsi" w:hAnsiTheme="majorHAnsi" w:cstheme="minorHAnsi"/>
          <w:i/>
          <w:iCs/>
          <w:sz w:val="24"/>
          <w:szCs w:val="24"/>
        </w:rPr>
        <w:t>Corresponde a las operaciones con deterioro crediticio en las que ha ocurrido un evento de incumplimiento:</w:t>
      </w:r>
    </w:p>
    <w:p w:rsidRPr="005B551E" w:rsidR="00F74934" w:rsidP="00F74934" w:rsidRDefault="00AA4ABF" w14:paraId="5662EA94" w14:textId="1B03EB7F">
      <w:pPr>
        <w:pStyle w:val="Prrafodelista"/>
        <w:spacing w:line="240" w:lineRule="auto"/>
        <w:ind w:left="709"/>
        <w:jc w:val="both"/>
        <w:rPr>
          <w:rFonts w:asciiTheme="majorHAnsi" w:hAnsiTheme="majorHAnsi" w:cstheme="minorHAnsi"/>
          <w:b/>
          <w:i/>
          <w:iCs/>
          <w:sz w:val="24"/>
          <w:szCs w:val="24"/>
        </w:rPr>
      </w:pPr>
      <w:r w:rsidRPr="005B551E">
        <w:rPr>
          <w:rFonts w:asciiTheme="majorHAnsi" w:hAnsiTheme="majorHAnsi" w:cstheme="minorHAnsi"/>
          <w:noProof/>
          <w:sz w:val="24"/>
          <w:szCs w:val="24"/>
          <w:lang w:eastAsia="es-CR"/>
        </w:rPr>
        <w:drawing>
          <wp:anchor distT="0" distB="0" distL="114300" distR="114300" simplePos="0" relativeHeight="251663360" behindDoc="1" locked="0" layoutInCell="1" allowOverlap="1" wp14:editId="6635901C" wp14:anchorId="3DE71C4D">
            <wp:simplePos x="0" y="0"/>
            <wp:positionH relativeFrom="margin">
              <wp:align>center</wp:align>
            </wp:positionH>
            <wp:positionV relativeFrom="paragraph">
              <wp:posOffset>201576</wp:posOffset>
            </wp:positionV>
            <wp:extent cx="5081270" cy="1747520"/>
            <wp:effectExtent l="0" t="0" r="5080" b="5080"/>
            <wp:wrapTight wrapText="bothSides">
              <wp:wrapPolygon edited="0">
                <wp:start x="0" y="0"/>
                <wp:lineTo x="0" y="21427"/>
                <wp:lineTo x="21541" y="21427"/>
                <wp:lineTo x="21541"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2015"/>
                    <a:stretch/>
                  </pic:blipFill>
                  <pic:spPr bwMode="auto">
                    <a:xfrm>
                      <a:off x="0" y="0"/>
                      <a:ext cx="5081270" cy="17477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5B551E" w:rsidR="00F74934" w:rsidP="00F74934" w:rsidRDefault="00F74934" w14:paraId="1B7E4388" w14:textId="77777777">
      <w:pPr>
        <w:pStyle w:val="Prrafodelista"/>
        <w:tabs>
          <w:tab w:val="left" w:pos="709"/>
        </w:tabs>
        <w:spacing w:line="240" w:lineRule="auto"/>
        <w:ind w:left="709"/>
        <w:jc w:val="both"/>
        <w:rPr>
          <w:rFonts w:asciiTheme="majorHAnsi" w:hAnsiTheme="majorHAnsi" w:cstheme="minorHAnsi"/>
          <w:b/>
          <w:i/>
          <w:iCs/>
          <w:sz w:val="24"/>
          <w:szCs w:val="24"/>
        </w:rPr>
      </w:pPr>
    </w:p>
    <w:p w:rsidRPr="005B551E" w:rsidR="00F74934" w:rsidP="00F74934" w:rsidRDefault="00F74934" w14:paraId="2E7618B7" w14:textId="77777777">
      <w:pPr>
        <w:pStyle w:val="Prrafodelista"/>
        <w:tabs>
          <w:tab w:val="left" w:pos="709"/>
        </w:tabs>
        <w:spacing w:line="240" w:lineRule="auto"/>
        <w:ind w:left="709"/>
        <w:jc w:val="both"/>
        <w:rPr>
          <w:rFonts w:asciiTheme="majorHAnsi" w:hAnsiTheme="majorHAnsi" w:cstheme="minorHAnsi"/>
          <w:b/>
          <w:i/>
          <w:iCs/>
          <w:sz w:val="24"/>
          <w:szCs w:val="24"/>
        </w:rPr>
      </w:pPr>
    </w:p>
    <w:p w:rsidRPr="005B551E" w:rsidR="00F74934" w:rsidP="00F74934" w:rsidRDefault="00F74934" w14:paraId="060DDBC6" w14:textId="006E28EE">
      <w:pPr>
        <w:pStyle w:val="Prrafodelista"/>
        <w:tabs>
          <w:tab w:val="left" w:pos="709"/>
        </w:tabs>
        <w:spacing w:line="240" w:lineRule="auto"/>
        <w:ind w:left="709"/>
        <w:jc w:val="both"/>
        <w:rPr>
          <w:rFonts w:asciiTheme="majorHAnsi" w:hAnsiTheme="majorHAnsi" w:cstheme="minorHAnsi"/>
          <w:b/>
          <w:i/>
          <w:iCs/>
          <w:sz w:val="24"/>
          <w:szCs w:val="24"/>
        </w:rPr>
      </w:pPr>
    </w:p>
    <w:p w:rsidRPr="005B551E" w:rsidR="00F74934" w:rsidP="00F74934" w:rsidRDefault="00F74934" w14:paraId="1D24D202" w14:textId="28995C43">
      <w:pPr>
        <w:pStyle w:val="Prrafodelista"/>
        <w:tabs>
          <w:tab w:val="left" w:pos="709"/>
        </w:tabs>
        <w:spacing w:line="240" w:lineRule="auto"/>
        <w:ind w:left="709"/>
        <w:jc w:val="both"/>
        <w:rPr>
          <w:rFonts w:asciiTheme="majorHAnsi" w:hAnsiTheme="majorHAnsi" w:cstheme="minorHAnsi"/>
          <w:b/>
          <w:i/>
          <w:iCs/>
          <w:sz w:val="24"/>
          <w:szCs w:val="24"/>
        </w:rPr>
      </w:pPr>
    </w:p>
    <w:p w:rsidRPr="005B551E" w:rsidR="00F74934" w:rsidP="00F74934" w:rsidRDefault="00F74934" w14:paraId="1E754AE6" w14:textId="14C71F81">
      <w:pPr>
        <w:pStyle w:val="Prrafodelista"/>
        <w:tabs>
          <w:tab w:val="left" w:pos="709"/>
        </w:tabs>
        <w:spacing w:line="240" w:lineRule="auto"/>
        <w:ind w:left="709"/>
        <w:jc w:val="both"/>
        <w:rPr>
          <w:rFonts w:asciiTheme="majorHAnsi" w:hAnsiTheme="majorHAnsi" w:cstheme="minorHAnsi"/>
          <w:b/>
          <w:i/>
          <w:iCs/>
          <w:sz w:val="24"/>
          <w:szCs w:val="24"/>
        </w:rPr>
      </w:pPr>
    </w:p>
    <w:p w:rsidRPr="005B551E" w:rsidR="00F74934" w:rsidP="00F74934" w:rsidRDefault="00F74934" w14:paraId="36104DB3" w14:textId="77777777">
      <w:pPr>
        <w:pStyle w:val="Prrafodelista"/>
        <w:tabs>
          <w:tab w:val="left" w:pos="709"/>
        </w:tabs>
        <w:spacing w:line="240" w:lineRule="auto"/>
        <w:ind w:left="709"/>
        <w:jc w:val="both"/>
        <w:rPr>
          <w:rFonts w:asciiTheme="majorHAnsi" w:hAnsiTheme="majorHAnsi" w:cstheme="minorHAnsi"/>
          <w:b/>
          <w:i/>
          <w:iCs/>
          <w:sz w:val="24"/>
          <w:szCs w:val="24"/>
        </w:rPr>
      </w:pPr>
    </w:p>
    <w:p w:rsidRPr="005B551E" w:rsidR="00F74934" w:rsidP="00F74934" w:rsidRDefault="00F74934" w14:paraId="25AC0C20" w14:textId="77777777">
      <w:pPr>
        <w:pStyle w:val="Prrafodelista"/>
        <w:tabs>
          <w:tab w:val="left" w:pos="709"/>
        </w:tabs>
        <w:spacing w:line="240" w:lineRule="auto"/>
        <w:ind w:left="709"/>
        <w:jc w:val="both"/>
        <w:rPr>
          <w:rFonts w:asciiTheme="majorHAnsi" w:hAnsiTheme="majorHAnsi" w:cstheme="minorHAnsi"/>
          <w:b/>
          <w:i/>
          <w:iCs/>
          <w:sz w:val="24"/>
          <w:szCs w:val="24"/>
        </w:rPr>
      </w:pPr>
    </w:p>
    <w:p w:rsidRPr="005B551E" w:rsidR="00AA4ABF" w:rsidP="00F74934" w:rsidRDefault="00AA4ABF" w14:paraId="790354C0" w14:textId="5CB4F872">
      <w:pPr>
        <w:pStyle w:val="Prrafodelista"/>
        <w:tabs>
          <w:tab w:val="left" w:pos="709"/>
        </w:tabs>
        <w:spacing w:line="240" w:lineRule="auto"/>
        <w:ind w:left="709"/>
        <w:jc w:val="both"/>
        <w:rPr>
          <w:rFonts w:asciiTheme="majorHAnsi" w:hAnsiTheme="majorHAnsi" w:cstheme="minorHAnsi"/>
          <w:b/>
          <w:i/>
          <w:iCs/>
          <w:sz w:val="24"/>
          <w:szCs w:val="24"/>
        </w:rPr>
      </w:pPr>
      <w:r w:rsidRPr="005B551E">
        <w:rPr>
          <w:rFonts w:asciiTheme="majorHAnsi" w:hAnsiTheme="majorHAnsi" w:cstheme="minorHAnsi"/>
          <w:b/>
          <w:i/>
          <w:iCs/>
          <w:sz w:val="24"/>
          <w:szCs w:val="24"/>
        </w:rPr>
        <w:lastRenderedPageBreak/>
        <w:t>Factores automáticos de clasificación en esta categoría:</w:t>
      </w:r>
    </w:p>
    <w:p w:rsidRPr="005B551E" w:rsidR="00AA4ABF" w:rsidP="00F74934" w:rsidRDefault="00AA4ABF" w14:paraId="0FD73B58" w14:textId="77777777">
      <w:pPr>
        <w:pStyle w:val="Prrafodelista"/>
        <w:tabs>
          <w:tab w:val="left" w:pos="709"/>
        </w:tabs>
        <w:spacing w:line="240" w:lineRule="auto"/>
        <w:ind w:left="709"/>
        <w:jc w:val="both"/>
        <w:rPr>
          <w:rFonts w:asciiTheme="majorHAnsi" w:hAnsiTheme="majorHAnsi" w:cstheme="minorHAnsi"/>
          <w:b/>
          <w:i/>
          <w:iCs/>
          <w:sz w:val="24"/>
          <w:szCs w:val="24"/>
        </w:rPr>
      </w:pPr>
      <w:r w:rsidRPr="005B551E">
        <w:rPr>
          <w:rFonts w:asciiTheme="majorHAnsi" w:hAnsiTheme="majorHAnsi" w:cstheme="minorHAnsi"/>
          <w:noProof/>
          <w:sz w:val="24"/>
          <w:szCs w:val="24"/>
          <w:lang w:eastAsia="es-CR"/>
        </w:rPr>
        <w:drawing>
          <wp:anchor distT="0" distB="0" distL="114300" distR="114300" simplePos="0" relativeHeight="251664384" behindDoc="1" locked="0" layoutInCell="1" allowOverlap="1" wp14:editId="3658AEC0" wp14:anchorId="2FE66FB8">
            <wp:simplePos x="0" y="0"/>
            <wp:positionH relativeFrom="margin">
              <wp:posOffset>320040</wp:posOffset>
            </wp:positionH>
            <wp:positionV relativeFrom="paragraph">
              <wp:posOffset>184785</wp:posOffset>
            </wp:positionV>
            <wp:extent cx="5179695" cy="1429385"/>
            <wp:effectExtent l="0" t="0" r="1905" b="0"/>
            <wp:wrapTight wrapText="bothSides">
              <wp:wrapPolygon edited="0">
                <wp:start x="0" y="0"/>
                <wp:lineTo x="0" y="21303"/>
                <wp:lineTo x="21529" y="21303"/>
                <wp:lineTo x="2152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79695" cy="1429385"/>
                    </a:xfrm>
                    <a:prstGeom prst="rect">
                      <a:avLst/>
                    </a:prstGeom>
                  </pic:spPr>
                </pic:pic>
              </a:graphicData>
            </a:graphic>
            <wp14:sizeRelH relativeFrom="page">
              <wp14:pctWidth>0</wp14:pctWidth>
            </wp14:sizeRelH>
            <wp14:sizeRelV relativeFrom="page">
              <wp14:pctHeight>0</wp14:pctHeight>
            </wp14:sizeRelV>
          </wp:anchor>
        </w:drawing>
      </w:r>
    </w:p>
    <w:p w:rsidRPr="005B551E" w:rsidR="00AA4ABF" w:rsidP="00F74934" w:rsidRDefault="00AA4ABF" w14:paraId="4F0C6088" w14:textId="77777777">
      <w:pPr>
        <w:spacing w:after="120" w:line="240" w:lineRule="auto"/>
        <w:ind w:firstLine="709"/>
        <w:contextualSpacing/>
        <w:rPr>
          <w:rFonts w:asciiTheme="majorHAnsi" w:hAnsiTheme="majorHAnsi" w:cstheme="minorHAnsi"/>
          <w:sz w:val="24"/>
        </w:rPr>
      </w:pPr>
      <w:r w:rsidRPr="005B551E">
        <w:rPr>
          <w:rFonts w:asciiTheme="majorHAnsi" w:hAnsiTheme="majorHAnsi" w:cstheme="minorHAnsi"/>
          <w:sz w:val="24"/>
        </w:rPr>
        <w:t>Rige a partir del primero de enero de 2024.</w:t>
      </w:r>
    </w:p>
    <w:p w:rsidRPr="005B551E" w:rsidR="000E1CB5" w:rsidP="00F74934" w:rsidRDefault="000E1CB5" w14:paraId="68BC8BA0" w14:textId="77777777">
      <w:pPr>
        <w:spacing w:after="120" w:line="240" w:lineRule="auto"/>
        <w:contextualSpacing/>
        <w:rPr>
          <w:rFonts w:asciiTheme="majorHAnsi" w:hAnsiTheme="majorHAnsi"/>
          <w:sz w:val="24"/>
        </w:rPr>
      </w:pPr>
    </w:p>
    <w:p w:rsidRPr="005B551E" w:rsidR="00AB2A56" w:rsidP="00F74934" w:rsidRDefault="00AB2A56" w14:paraId="30029F2F" w14:textId="57BCD670">
      <w:pPr>
        <w:spacing w:after="120" w:line="240" w:lineRule="auto"/>
        <w:ind w:firstLine="709"/>
        <w:contextualSpacing/>
        <w:rPr>
          <w:rFonts w:asciiTheme="majorHAnsi" w:hAnsiTheme="majorHAnsi"/>
          <w:sz w:val="24"/>
        </w:rPr>
      </w:pPr>
      <w:r w:rsidRPr="005B551E">
        <w:rPr>
          <w:rFonts w:asciiTheme="majorHAnsi" w:hAnsiTheme="majorHAnsi"/>
          <w:sz w:val="24"/>
        </w:rPr>
        <w:t>Publíquese en el Diario Oficial La Gaceta.</w:t>
      </w:r>
    </w:p>
    <w:p w:rsidRPr="005B551E" w:rsidR="00F74934" w:rsidP="00F74934" w:rsidRDefault="00F74934" w14:paraId="2583A3E8" w14:textId="40A660E3">
      <w:pPr>
        <w:spacing w:before="120" w:after="120" w:line="240" w:lineRule="auto"/>
        <w:contextualSpacing/>
        <w:rPr>
          <w:rFonts w:asciiTheme="majorHAnsi" w:hAnsiTheme="majorHAnsi"/>
          <w:sz w:val="24"/>
        </w:rPr>
      </w:pPr>
    </w:p>
    <w:p w:rsidRPr="005B551E" w:rsidR="005B551E" w:rsidP="00F74934" w:rsidRDefault="005B551E" w14:paraId="49DFBA42" w14:textId="26F94EFE">
      <w:pPr>
        <w:spacing w:before="120" w:after="120" w:line="240" w:lineRule="auto"/>
        <w:contextualSpacing/>
        <w:rPr>
          <w:rFonts w:asciiTheme="majorHAnsi" w:hAnsiTheme="majorHAnsi"/>
          <w:sz w:val="24"/>
        </w:rPr>
      </w:pPr>
    </w:p>
    <w:p w:rsidRPr="005B551E" w:rsidR="005B551E" w:rsidP="005B551E" w:rsidRDefault="005B551E" w14:paraId="78D04303" w14:textId="77777777">
      <w:pPr>
        <w:widowControl w:val="0"/>
        <w:spacing w:before="120" w:after="120" w:line="240" w:lineRule="auto"/>
        <w:contextualSpacing/>
        <w:rPr>
          <w:rFonts w:asciiTheme="majorHAnsi" w:hAnsiTheme="majorHAnsi"/>
          <w:iCs/>
          <w:sz w:val="24"/>
          <w:lang w:val="es-CR" w:eastAsia="es-ES"/>
        </w:rPr>
      </w:pPr>
      <w:r w:rsidRPr="005B551E">
        <w:rPr>
          <w:rFonts w:asciiTheme="majorHAnsi" w:hAnsiTheme="majorHAnsi"/>
          <w:sz w:val="24"/>
        </w:rPr>
        <w:t>Mediante la Circular Externa SGF-4380-2021, del 22 de diciembre del 2021 esta Superintendencia estableció la n</w:t>
      </w:r>
      <w:r w:rsidRPr="005B551E">
        <w:rPr>
          <w:rFonts w:asciiTheme="majorHAnsi" w:hAnsiTheme="majorHAnsi"/>
          <w:bCs/>
          <w:sz w:val="24"/>
        </w:rPr>
        <w:t xml:space="preserve">ueva herramienta para </w:t>
      </w:r>
      <w:r w:rsidRPr="005B551E">
        <w:rPr>
          <w:rFonts w:asciiTheme="majorHAnsi" w:hAnsiTheme="majorHAnsi"/>
          <w:sz w:val="24"/>
          <w:lang w:val="es-419"/>
        </w:rPr>
        <w:t xml:space="preserve">el envío de observaciones y comentarios a la consulta externa de las normativas remitidas por el </w:t>
      </w:r>
      <w:r w:rsidRPr="005B551E">
        <w:rPr>
          <w:rFonts w:asciiTheme="majorHAnsi" w:hAnsiTheme="majorHAnsi"/>
          <w:iCs/>
          <w:sz w:val="24"/>
          <w:lang w:val="es-CR" w:eastAsia="es-ES"/>
        </w:rPr>
        <w:t>Consejo Nacional de Supervisión del Sistema Financiero.</w:t>
      </w:r>
    </w:p>
    <w:p w:rsidRPr="005B551E" w:rsidR="005B551E" w:rsidP="005B551E" w:rsidRDefault="005B551E" w14:paraId="05876DC3" w14:textId="77777777">
      <w:pPr>
        <w:widowControl w:val="0"/>
        <w:spacing w:before="120" w:after="120" w:line="240" w:lineRule="auto"/>
        <w:contextualSpacing/>
        <w:rPr>
          <w:rFonts w:asciiTheme="majorHAnsi" w:hAnsiTheme="majorHAnsi"/>
          <w:iCs/>
          <w:sz w:val="24"/>
          <w:lang w:val="es-CR" w:eastAsia="es-ES"/>
        </w:rPr>
      </w:pPr>
    </w:p>
    <w:p w:rsidRPr="005B551E" w:rsidR="005B551E" w:rsidP="005B551E" w:rsidRDefault="005B551E" w14:paraId="378A8325" w14:textId="77777777">
      <w:pPr>
        <w:widowControl w:val="0"/>
        <w:rPr>
          <w:rFonts w:asciiTheme="majorHAnsi" w:hAnsiTheme="majorHAnsi"/>
          <w:sz w:val="24"/>
        </w:rPr>
      </w:pPr>
      <w:r w:rsidRPr="005B551E">
        <w:rPr>
          <w:rFonts w:asciiTheme="majorHAnsi" w:hAnsiTheme="majorHAnsi"/>
          <w:sz w:val="24"/>
        </w:rPr>
        <w:t xml:space="preserve">En lo sucesivo los comentarios y observaciones motivados en procesos de consulta pública del CONASSIF y de la SUGEF se realizará utilizando los enlaces de cada uno de los reglamentos ubicados en  la dirección electrónica de la página oficial de la SUGEF </w:t>
      </w:r>
      <w:hyperlink w:history="1" r:id="rId19">
        <w:r w:rsidRPr="005B551E">
          <w:rPr>
            <w:rFonts w:asciiTheme="majorHAnsi" w:hAnsiTheme="majorHAnsi"/>
            <w:sz w:val="24"/>
          </w:rPr>
          <w:t>https://www.sugef.fi.cr/normativa/normativa_en_consulta.aspx</w:t>
        </w:r>
      </w:hyperlink>
      <w:r w:rsidRPr="005B551E">
        <w:rPr>
          <w:rFonts w:asciiTheme="majorHAnsi" w:hAnsiTheme="majorHAnsi"/>
          <w:sz w:val="24"/>
        </w:rPr>
        <w:t xml:space="preserve"> en el apartado </w:t>
      </w:r>
      <w:r w:rsidRPr="005B551E">
        <w:rPr>
          <w:rFonts w:asciiTheme="majorHAnsi" w:hAnsiTheme="majorHAnsi"/>
          <w:b/>
          <w:bCs/>
          <w:sz w:val="24"/>
        </w:rPr>
        <w:t>“Formularios para remitir observaciones de normativa en consulta</w:t>
      </w:r>
      <w:r w:rsidRPr="005B551E">
        <w:rPr>
          <w:rFonts w:asciiTheme="majorHAnsi" w:hAnsiTheme="majorHAnsi"/>
          <w:sz w:val="24"/>
        </w:rPr>
        <w:t>”.</w:t>
      </w:r>
    </w:p>
    <w:p w:rsidRPr="005B551E" w:rsidR="005B551E" w:rsidP="005B551E" w:rsidRDefault="005B551E" w14:paraId="026CD86C" w14:textId="77777777">
      <w:pPr>
        <w:widowControl w:val="0"/>
        <w:spacing w:before="120" w:after="120" w:line="240" w:lineRule="auto"/>
        <w:contextualSpacing/>
        <w:rPr>
          <w:rFonts w:asciiTheme="majorHAnsi" w:hAnsiTheme="majorHAnsi"/>
          <w:iCs/>
          <w:sz w:val="24"/>
          <w:lang w:val="es-CR" w:eastAsia="es-ES"/>
        </w:rPr>
      </w:pPr>
    </w:p>
    <w:p w:rsidRPr="005B551E" w:rsidR="005B551E" w:rsidP="005B551E" w:rsidRDefault="005B551E" w14:paraId="6469F82C" w14:textId="1BE72A37">
      <w:pPr>
        <w:widowControl w:val="0"/>
        <w:spacing w:before="120" w:after="120" w:line="240" w:lineRule="auto"/>
        <w:contextualSpacing/>
        <w:rPr>
          <w:rFonts w:asciiTheme="majorHAnsi" w:hAnsiTheme="majorHAnsi"/>
          <w:sz w:val="24"/>
          <w:lang w:val="es-CR"/>
        </w:rPr>
      </w:pPr>
      <w:r w:rsidRPr="005B551E">
        <w:rPr>
          <w:rFonts w:asciiTheme="majorHAnsi" w:hAnsiTheme="majorHAnsi"/>
          <w:sz w:val="24"/>
        </w:rPr>
        <w:t xml:space="preserve">Así mismo, el correo electrónico </w:t>
      </w:r>
      <w:hyperlink w:history="1" r:id="rId20">
        <w:r w:rsidRPr="005B551E">
          <w:rPr>
            <w:rStyle w:val="Hipervnculo"/>
            <w:rFonts w:asciiTheme="majorHAnsi" w:hAnsiTheme="majorHAnsi"/>
            <w:sz w:val="24"/>
          </w:rPr>
          <w:t>normativaenconsulta@sugef.fi.cr</w:t>
        </w:r>
      </w:hyperlink>
      <w:r w:rsidRPr="005B551E">
        <w:rPr>
          <w:rFonts w:asciiTheme="majorHAnsi" w:hAnsiTheme="majorHAnsi"/>
          <w:sz w:val="24"/>
        </w:rPr>
        <w:t xml:space="preserve"> será utilizado </w:t>
      </w:r>
      <w:r w:rsidRPr="005B551E">
        <w:rPr>
          <w:rFonts w:asciiTheme="majorHAnsi" w:hAnsiTheme="majorHAnsi"/>
          <w:b/>
          <w:bCs/>
          <w:sz w:val="24"/>
          <w:u w:val="single"/>
        </w:rPr>
        <w:t>únicamente</w:t>
      </w:r>
      <w:r w:rsidRPr="005B551E">
        <w:rPr>
          <w:rFonts w:asciiTheme="majorHAnsi" w:hAnsiTheme="majorHAnsi"/>
          <w:sz w:val="24"/>
        </w:rPr>
        <w:t xml:space="preserve"> como mecanismo de notificación sobre la completitud de dicho formulario. </w:t>
      </w:r>
    </w:p>
    <w:p w:rsidRPr="005B551E" w:rsidR="005B551E" w:rsidP="00F74934" w:rsidRDefault="005B551E" w14:paraId="45583805" w14:textId="77777777">
      <w:pPr>
        <w:spacing w:before="120" w:after="120" w:line="240" w:lineRule="auto"/>
        <w:contextualSpacing/>
        <w:rPr>
          <w:rFonts w:asciiTheme="majorHAnsi" w:hAnsiTheme="majorHAnsi"/>
          <w:bCs/>
          <w:sz w:val="24"/>
          <w:lang w:val="es-CR"/>
        </w:rPr>
      </w:pPr>
    </w:p>
    <w:p w:rsidRPr="005B551E" w:rsidR="00251BA2" w:rsidP="00F74934" w:rsidRDefault="00251BA2" w14:paraId="612C57B3" w14:textId="77777777">
      <w:pPr>
        <w:pStyle w:val="Texto0"/>
        <w:spacing w:before="0" w:after="0" w:line="240" w:lineRule="auto"/>
        <w:contextualSpacing/>
        <w:rPr>
          <w:rFonts w:asciiTheme="majorHAnsi" w:hAnsiTheme="majorHAnsi"/>
          <w:sz w:val="24"/>
        </w:rPr>
      </w:pPr>
      <w:r w:rsidRPr="005B551E">
        <w:rPr>
          <w:rFonts w:asciiTheme="majorHAnsi" w:hAnsiTheme="majorHAnsi"/>
          <w:sz w:val="24"/>
        </w:rPr>
        <w:t>Atentamente,</w:t>
      </w:r>
    </w:p>
    <w:p w:rsidRPr="005B551E" w:rsidR="00251BA2" w:rsidP="00F74934" w:rsidRDefault="00251BA2" w14:paraId="4DD479B1" w14:textId="340A5FA9">
      <w:pPr>
        <w:spacing w:line="240" w:lineRule="auto"/>
        <w:contextualSpacing/>
        <w:rPr>
          <w:rFonts w:asciiTheme="majorHAnsi" w:hAnsiTheme="majorHAnsi"/>
          <w:sz w:val="24"/>
        </w:rPr>
      </w:pPr>
      <w:r w:rsidRPr="005B551E">
        <w:rPr>
          <w:rFonts w:asciiTheme="majorHAnsi" w:hAnsiTheme="majorHAnsi"/>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5B551E" w:rsidR="00251BA2" w:rsidP="00F74934" w:rsidRDefault="00251BA2" w14:paraId="6B4D47CD" w14:textId="77777777">
      <w:pPr>
        <w:spacing w:line="240" w:lineRule="auto"/>
        <w:contextualSpacing/>
        <w:rPr>
          <w:rFonts w:asciiTheme="majorHAnsi" w:hAnsiTheme="majorHAnsi"/>
          <w:sz w:val="24"/>
        </w:rPr>
      </w:pPr>
    </w:p>
    <w:p w:rsidRPr="005B551E" w:rsidR="0056149B" w:rsidP="00F74934" w:rsidRDefault="00E01E95" w14:paraId="4A4063B2" w14:textId="610231C1">
      <w:pPr>
        <w:spacing w:line="240" w:lineRule="auto"/>
        <w:contextualSpacing/>
        <w:rPr>
          <w:rFonts w:asciiTheme="majorHAnsi" w:hAnsiTheme="majorHAnsi"/>
          <w:sz w:val="24"/>
        </w:rPr>
      </w:pPr>
      <w:r>
        <w:rPr>
          <w:rFonts w:asciiTheme="majorHAnsi" w:hAnsiTheme="majorHAnsi"/>
          <w:sz w:val="24"/>
        </w:rPr>
        <w:t>Rocío Aguilar Montoya</w:t>
      </w:r>
    </w:p>
    <w:p w:rsidRPr="005B551E" w:rsidR="00251BA2" w:rsidP="00F74934" w:rsidRDefault="00E01E95" w14:paraId="0EC86EC6" w14:textId="44FD97C4">
      <w:pPr>
        <w:spacing w:line="240" w:lineRule="auto"/>
        <w:contextualSpacing/>
        <w:rPr>
          <w:rFonts w:asciiTheme="majorHAnsi" w:hAnsiTheme="majorHAnsi"/>
          <w:b/>
          <w:sz w:val="24"/>
        </w:rPr>
      </w:pPr>
      <w:r>
        <w:rPr>
          <w:rFonts w:asciiTheme="majorHAnsi" w:hAnsiTheme="majorHAnsi"/>
          <w:b/>
          <w:sz w:val="24"/>
        </w:rPr>
        <w:t>Superin</w:t>
      </w:r>
      <w:r w:rsidRPr="005B551E" w:rsidR="00251BA2">
        <w:rPr>
          <w:rFonts w:asciiTheme="majorHAnsi" w:hAnsiTheme="majorHAnsi"/>
          <w:b/>
          <w:sz w:val="24"/>
        </w:rPr>
        <w:t>tendente</w:t>
      </w:r>
      <w:r w:rsidRPr="005B551E" w:rsidR="00E34E82">
        <w:rPr>
          <w:rFonts w:asciiTheme="majorHAnsi" w:hAnsiTheme="majorHAnsi"/>
          <w:b/>
          <w:sz w:val="24"/>
        </w:rPr>
        <w:t xml:space="preserve"> General</w:t>
      </w:r>
    </w:p>
    <w:p w:rsidRPr="005B551E" w:rsidR="009A6C47" w:rsidP="00F74934" w:rsidRDefault="009A6C47" w14:paraId="5C1D350D" w14:textId="77777777">
      <w:pPr>
        <w:spacing w:line="240" w:lineRule="auto"/>
        <w:contextualSpacing/>
        <w:rPr>
          <w:rFonts w:asciiTheme="majorHAnsi" w:hAnsiTheme="majorHAnsi"/>
          <w:b/>
          <w:sz w:val="24"/>
        </w:rPr>
      </w:pPr>
    </w:p>
    <w:p w:rsidRPr="005B551E" w:rsidR="00A26E9E" w:rsidP="00F74934" w:rsidRDefault="005B160F" w14:paraId="31BC3841" w14:textId="3821B951">
      <w:pPr>
        <w:spacing w:before="120" w:after="120" w:line="240" w:lineRule="auto"/>
        <w:contextualSpacing/>
        <w:rPr>
          <w:rFonts w:asciiTheme="majorHAnsi" w:hAnsiTheme="majorHAnsi"/>
          <w:sz w:val="24"/>
        </w:rPr>
      </w:pPr>
      <w:r w:rsidRPr="005B551E">
        <w:rPr>
          <w:rFonts w:eastAsia="Calibri" w:asciiTheme="majorHAnsi" w:hAnsiTheme="majorHAnsi"/>
          <w:b/>
          <w:bCs/>
          <w:sz w:val="24"/>
          <w:lang w:val="es-CR"/>
        </w:rPr>
        <w:t>J</w:t>
      </w:r>
      <w:r w:rsidRPr="005B551E" w:rsidR="0056149B">
        <w:rPr>
          <w:rFonts w:eastAsia="Calibri" w:asciiTheme="majorHAnsi" w:hAnsiTheme="majorHAnsi"/>
          <w:b/>
          <w:bCs/>
          <w:sz w:val="24"/>
          <w:lang w:val="es-CR"/>
        </w:rPr>
        <w:t>SC/</w:t>
      </w:r>
      <w:proofErr w:type="spellStart"/>
      <w:r w:rsidRPr="005B551E" w:rsidR="00251BA2">
        <w:rPr>
          <w:rFonts w:eastAsia="Calibri" w:asciiTheme="majorHAnsi" w:hAnsiTheme="majorHAnsi"/>
          <w:b/>
          <w:bCs/>
          <w:sz w:val="24"/>
          <w:lang w:val="es-CR"/>
        </w:rPr>
        <w:t>gvl</w:t>
      </w:r>
      <w:proofErr w:type="spellEnd"/>
      <w:r w:rsidRPr="005B551E" w:rsidR="00251BA2">
        <w:rPr>
          <w:rFonts w:eastAsia="Calibri" w:asciiTheme="majorHAnsi" w:hAnsiTheme="majorHAnsi"/>
          <w:b/>
          <w:bCs/>
          <w:sz w:val="24"/>
          <w:lang w:val="es-CR"/>
        </w:rPr>
        <w:t>*</w:t>
      </w:r>
    </w:p>
    <w:sectPr w:rsidRPr="005B551E" w:rsidR="00A26E9E" w:rsidSect="005739A8">
      <w:headerReference w:type="even" r:id="rId22"/>
      <w:headerReference w:type="default" r:id="rId23"/>
      <w:footerReference w:type="even" r:id="rId24"/>
      <w:footerReference w:type="default" r:id="rId25"/>
      <w:headerReference w:type="first" r:id="rId26"/>
      <w:footerReference w:type="first" r:id="rId2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proofErr w:type="gramStart"/>
          <w:r>
            <w:t xml:space="preserve">   (</w:t>
          </w:r>
          <w:proofErr w:type="gramEnd"/>
          <w:r>
            <w:t>506) 2243-4848</w:t>
          </w:r>
        </w:p>
        <w:p w:rsidR="008F1461" w:rsidP="000C62BB" w:rsidRDefault="008F1461" w14:paraId="07F0E6EB" w14:textId="77777777">
          <w:pPr>
            <w:pStyle w:val="Piepagina"/>
          </w:pPr>
          <w:proofErr w:type="gramStart"/>
          <w:r>
            <w:rPr>
              <w:b/>
              <w:bCs/>
            </w:rPr>
            <w:t>Facsímile</w:t>
          </w:r>
          <w:r>
            <w:t xml:space="preserve">  (</w:t>
          </w:r>
          <w:proofErr w:type="gramEnd"/>
          <w:r>
            <w:t>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 w:id="1">
    <w:p w14:paraId="0334CB7A" w14:textId="77777777" w:rsidR="00AA4ABF" w:rsidRPr="003C1B46" w:rsidRDefault="00AA4ABF" w:rsidP="00AA4ABF">
      <w:pPr>
        <w:pStyle w:val="footnotedescription"/>
        <w:jc w:val="both"/>
        <w:rPr>
          <w:rFonts w:asciiTheme="minorHAnsi" w:hAnsiTheme="minorHAnsi" w:cstheme="minorHAnsi"/>
          <w:sz w:val="18"/>
          <w:szCs w:val="18"/>
        </w:rPr>
      </w:pPr>
      <w:r w:rsidRPr="003C1B46">
        <w:rPr>
          <w:rStyle w:val="footnotemark"/>
          <w:rFonts w:asciiTheme="minorHAnsi" w:hAnsiTheme="minorHAnsi" w:cstheme="minorHAnsi"/>
          <w:sz w:val="18"/>
          <w:szCs w:val="18"/>
        </w:rPr>
        <w:footnoteRef/>
      </w:r>
      <w:r w:rsidRPr="003C1B46">
        <w:rPr>
          <w:rFonts w:asciiTheme="minorHAnsi" w:hAnsiTheme="minorHAnsi" w:cstheme="minorHAnsi"/>
          <w:sz w:val="18"/>
          <w:szCs w:val="18"/>
        </w:rPr>
        <w:t xml:space="preserve"> Entre los indicadores de actividad, en el caso de empresas comerciales, suelen incluirse: rotación de inventarios, período medio de cobro, período medio de pago,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EAF"/>
    <w:multiLevelType w:val="hybridMultilevel"/>
    <w:tmpl w:val="90CC8574"/>
    <w:lvl w:ilvl="0" w:tplc="140A001B">
      <w:start w:val="1"/>
      <w:numFmt w:val="low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 w15:restartNumberingAfterBreak="0">
    <w:nsid w:val="05082949"/>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1E2C465E"/>
    <w:multiLevelType w:val="hybridMultilevel"/>
    <w:tmpl w:val="9C70029C"/>
    <w:lvl w:ilvl="0" w:tplc="689C8ECC">
      <w:start w:val="3"/>
      <w:numFmt w:val="decimal"/>
      <w:lvlText w:val="%1."/>
      <w:lvlJc w:val="left"/>
      <w:pPr>
        <w:ind w:left="567" w:hanging="360"/>
      </w:pPr>
      <w:rPr>
        <w:rFonts w:hint="default"/>
      </w:rPr>
    </w:lvl>
    <w:lvl w:ilvl="1" w:tplc="140A0019" w:tentative="1">
      <w:start w:val="1"/>
      <w:numFmt w:val="lowerLetter"/>
      <w:lvlText w:val="%2."/>
      <w:lvlJc w:val="left"/>
      <w:pPr>
        <w:ind w:left="1287" w:hanging="360"/>
      </w:pPr>
    </w:lvl>
    <w:lvl w:ilvl="2" w:tplc="140A001B" w:tentative="1">
      <w:start w:val="1"/>
      <w:numFmt w:val="lowerRoman"/>
      <w:lvlText w:val="%3."/>
      <w:lvlJc w:val="right"/>
      <w:pPr>
        <w:ind w:left="2007" w:hanging="180"/>
      </w:pPr>
    </w:lvl>
    <w:lvl w:ilvl="3" w:tplc="140A000F" w:tentative="1">
      <w:start w:val="1"/>
      <w:numFmt w:val="decimal"/>
      <w:lvlText w:val="%4."/>
      <w:lvlJc w:val="left"/>
      <w:pPr>
        <w:ind w:left="2727" w:hanging="360"/>
      </w:pPr>
    </w:lvl>
    <w:lvl w:ilvl="4" w:tplc="140A0019" w:tentative="1">
      <w:start w:val="1"/>
      <w:numFmt w:val="lowerLetter"/>
      <w:lvlText w:val="%5."/>
      <w:lvlJc w:val="left"/>
      <w:pPr>
        <w:ind w:left="3447" w:hanging="360"/>
      </w:pPr>
    </w:lvl>
    <w:lvl w:ilvl="5" w:tplc="140A001B" w:tentative="1">
      <w:start w:val="1"/>
      <w:numFmt w:val="lowerRoman"/>
      <w:lvlText w:val="%6."/>
      <w:lvlJc w:val="right"/>
      <w:pPr>
        <w:ind w:left="4167" w:hanging="180"/>
      </w:pPr>
    </w:lvl>
    <w:lvl w:ilvl="6" w:tplc="140A000F" w:tentative="1">
      <w:start w:val="1"/>
      <w:numFmt w:val="decimal"/>
      <w:lvlText w:val="%7."/>
      <w:lvlJc w:val="left"/>
      <w:pPr>
        <w:ind w:left="4887" w:hanging="360"/>
      </w:pPr>
    </w:lvl>
    <w:lvl w:ilvl="7" w:tplc="140A0019" w:tentative="1">
      <w:start w:val="1"/>
      <w:numFmt w:val="lowerLetter"/>
      <w:lvlText w:val="%8."/>
      <w:lvlJc w:val="left"/>
      <w:pPr>
        <w:ind w:left="5607" w:hanging="360"/>
      </w:pPr>
    </w:lvl>
    <w:lvl w:ilvl="8" w:tplc="140A001B" w:tentative="1">
      <w:start w:val="1"/>
      <w:numFmt w:val="lowerRoman"/>
      <w:lvlText w:val="%9."/>
      <w:lvlJc w:val="right"/>
      <w:pPr>
        <w:ind w:left="6327" w:hanging="180"/>
      </w:pPr>
    </w:lvl>
  </w:abstractNum>
  <w:abstractNum w:abstractNumId="4" w15:restartNumberingAfterBreak="0">
    <w:nsid w:val="22D21CB5"/>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5" w15:restartNumberingAfterBreak="0">
    <w:nsid w:val="3F1B2CEF"/>
    <w:multiLevelType w:val="hybridMultilevel"/>
    <w:tmpl w:val="302684A8"/>
    <w:lvl w:ilvl="0" w:tplc="140A0015">
      <w:start w:val="1"/>
      <w:numFmt w:val="upp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45B62A54"/>
    <w:multiLevelType w:val="hybridMultilevel"/>
    <w:tmpl w:val="B5D687EA"/>
    <w:lvl w:ilvl="0" w:tplc="BFD49DDA">
      <w:start w:val="1"/>
      <w:numFmt w:val="lowerLetter"/>
      <w:lvlText w:val="%1)"/>
      <w:lvlJc w:val="left"/>
      <w:pPr>
        <w:ind w:left="1068" w:hanging="360"/>
      </w:pPr>
      <w:rPr>
        <w:b w:val="0"/>
        <w:b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 w15:restartNumberingAfterBreak="0">
    <w:nsid w:val="4D562336"/>
    <w:multiLevelType w:val="hybridMultilevel"/>
    <w:tmpl w:val="B67E8B0A"/>
    <w:lvl w:ilvl="0" w:tplc="69487A16">
      <w:start w:val="1"/>
      <w:numFmt w:val="upperLetter"/>
      <w:lvlText w:val="%1."/>
      <w:lvlJc w:val="left"/>
      <w:pPr>
        <w:ind w:left="1068" w:hanging="360"/>
      </w:pPr>
      <w:rPr>
        <w:b/>
        <w:bCs/>
        <w:i w:val="0"/>
        <w:i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5092415C"/>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0" w15:restartNumberingAfterBreak="0">
    <w:nsid w:val="52FC4D8B"/>
    <w:multiLevelType w:val="hybridMultilevel"/>
    <w:tmpl w:val="688AE04C"/>
    <w:lvl w:ilvl="0" w:tplc="896EA4DC">
      <w:start w:val="1"/>
      <w:numFmt w:val="upperLetter"/>
      <w:lvlText w:val="%1."/>
      <w:lvlJc w:val="left"/>
      <w:pPr>
        <w:ind w:left="1080" w:hanging="360"/>
      </w:pPr>
      <w:rPr>
        <w:b/>
        <w:bCs/>
        <w:i w:val="0"/>
        <w:iCs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57CE3EE9"/>
    <w:multiLevelType w:val="hybridMultilevel"/>
    <w:tmpl w:val="07D25594"/>
    <w:lvl w:ilvl="0" w:tplc="9B8851B0">
      <w:start w:val="1"/>
      <w:numFmt w:val="decimal"/>
      <w:lvlText w:val="%1."/>
      <w:lvlJc w:val="left"/>
      <w:pPr>
        <w:ind w:left="1004" w:hanging="360"/>
      </w:pPr>
      <w:rPr>
        <w:i w:val="0"/>
        <w:iCs w:val="0"/>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12"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72265E75"/>
    <w:multiLevelType w:val="hybridMultilevel"/>
    <w:tmpl w:val="9C70029C"/>
    <w:lvl w:ilvl="0" w:tplc="689C8ECC">
      <w:start w:val="3"/>
      <w:numFmt w:val="decimal"/>
      <w:lvlText w:val="%1."/>
      <w:lvlJc w:val="left"/>
      <w:pPr>
        <w:ind w:left="567" w:hanging="360"/>
      </w:pPr>
      <w:rPr>
        <w:rFonts w:hint="default"/>
      </w:rPr>
    </w:lvl>
    <w:lvl w:ilvl="1" w:tplc="140A0019" w:tentative="1">
      <w:start w:val="1"/>
      <w:numFmt w:val="lowerLetter"/>
      <w:lvlText w:val="%2."/>
      <w:lvlJc w:val="left"/>
      <w:pPr>
        <w:ind w:left="1287" w:hanging="360"/>
      </w:pPr>
    </w:lvl>
    <w:lvl w:ilvl="2" w:tplc="140A001B" w:tentative="1">
      <w:start w:val="1"/>
      <w:numFmt w:val="lowerRoman"/>
      <w:lvlText w:val="%3."/>
      <w:lvlJc w:val="right"/>
      <w:pPr>
        <w:ind w:left="2007" w:hanging="180"/>
      </w:pPr>
    </w:lvl>
    <w:lvl w:ilvl="3" w:tplc="140A000F" w:tentative="1">
      <w:start w:val="1"/>
      <w:numFmt w:val="decimal"/>
      <w:lvlText w:val="%4."/>
      <w:lvlJc w:val="left"/>
      <w:pPr>
        <w:ind w:left="2727" w:hanging="360"/>
      </w:pPr>
    </w:lvl>
    <w:lvl w:ilvl="4" w:tplc="140A0019" w:tentative="1">
      <w:start w:val="1"/>
      <w:numFmt w:val="lowerLetter"/>
      <w:lvlText w:val="%5."/>
      <w:lvlJc w:val="left"/>
      <w:pPr>
        <w:ind w:left="3447" w:hanging="360"/>
      </w:pPr>
    </w:lvl>
    <w:lvl w:ilvl="5" w:tplc="140A001B" w:tentative="1">
      <w:start w:val="1"/>
      <w:numFmt w:val="lowerRoman"/>
      <w:lvlText w:val="%6."/>
      <w:lvlJc w:val="right"/>
      <w:pPr>
        <w:ind w:left="4167" w:hanging="180"/>
      </w:pPr>
    </w:lvl>
    <w:lvl w:ilvl="6" w:tplc="140A000F" w:tentative="1">
      <w:start w:val="1"/>
      <w:numFmt w:val="decimal"/>
      <w:lvlText w:val="%7."/>
      <w:lvlJc w:val="left"/>
      <w:pPr>
        <w:ind w:left="4887" w:hanging="360"/>
      </w:pPr>
    </w:lvl>
    <w:lvl w:ilvl="7" w:tplc="140A0019" w:tentative="1">
      <w:start w:val="1"/>
      <w:numFmt w:val="lowerLetter"/>
      <w:lvlText w:val="%8."/>
      <w:lvlJc w:val="left"/>
      <w:pPr>
        <w:ind w:left="5607" w:hanging="360"/>
      </w:pPr>
    </w:lvl>
    <w:lvl w:ilvl="8" w:tplc="140A001B" w:tentative="1">
      <w:start w:val="1"/>
      <w:numFmt w:val="lowerRoman"/>
      <w:lvlText w:val="%9."/>
      <w:lvlJc w:val="right"/>
      <w:pPr>
        <w:ind w:left="6327"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EBB332C"/>
    <w:multiLevelType w:val="hybridMultilevel"/>
    <w:tmpl w:val="A57E6E12"/>
    <w:lvl w:ilvl="0" w:tplc="25E65D5E">
      <w:start w:val="1"/>
      <w:numFmt w:val="upperRoman"/>
      <w:lvlText w:val="%1."/>
      <w:lvlJc w:val="right"/>
      <w:pPr>
        <w:ind w:left="360" w:hanging="360"/>
      </w:pPr>
      <w:rPr>
        <w:b/>
        <w:bCs/>
        <w:i w:val="0"/>
        <w:iCs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9"/>
  </w:num>
  <w:num w:numId="3">
    <w:abstractNumId w:val="14"/>
  </w:num>
  <w:num w:numId="4">
    <w:abstractNumId w:val="12"/>
  </w:num>
  <w:num w:numId="5">
    <w:abstractNumId w:val="15"/>
  </w:num>
  <w:num w:numId="6">
    <w:abstractNumId w:val="7"/>
  </w:num>
  <w:num w:numId="7">
    <w:abstractNumId w:val="11"/>
  </w:num>
  <w:num w:numId="8">
    <w:abstractNumId w:val="4"/>
  </w:num>
  <w:num w:numId="9">
    <w:abstractNumId w:val="0"/>
  </w:num>
  <w:num w:numId="10">
    <w:abstractNumId w:val="8"/>
  </w:num>
  <w:num w:numId="11">
    <w:abstractNumId w:val="1"/>
  </w:num>
  <w:num w:numId="12">
    <w:abstractNumId w:val="5"/>
  </w:num>
  <w:num w:numId="13">
    <w:abstractNumId w:val="6"/>
  </w:num>
  <w:num w:numId="14">
    <w:abstractNumId w:val="10"/>
  </w:num>
  <w:num w:numId="15">
    <w:abstractNumId w:val="3"/>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E1CB5"/>
    <w:rsid w:val="000F34AE"/>
    <w:rsid w:val="001052E8"/>
    <w:rsid w:val="00117501"/>
    <w:rsid w:val="001322B4"/>
    <w:rsid w:val="001327EB"/>
    <w:rsid w:val="001343DE"/>
    <w:rsid w:val="00134F64"/>
    <w:rsid w:val="001425DC"/>
    <w:rsid w:val="00153356"/>
    <w:rsid w:val="0016220C"/>
    <w:rsid w:val="001653C6"/>
    <w:rsid w:val="0016711E"/>
    <w:rsid w:val="00170FA2"/>
    <w:rsid w:val="00172B8C"/>
    <w:rsid w:val="00187582"/>
    <w:rsid w:val="001946F4"/>
    <w:rsid w:val="001A311A"/>
    <w:rsid w:val="001A6574"/>
    <w:rsid w:val="001B4D6A"/>
    <w:rsid w:val="001B5593"/>
    <w:rsid w:val="001C075B"/>
    <w:rsid w:val="001C5806"/>
    <w:rsid w:val="001E0448"/>
    <w:rsid w:val="001E37B7"/>
    <w:rsid w:val="00212B7C"/>
    <w:rsid w:val="00220C1C"/>
    <w:rsid w:val="00225AB8"/>
    <w:rsid w:val="00230C67"/>
    <w:rsid w:val="00234BEA"/>
    <w:rsid w:val="002410C8"/>
    <w:rsid w:val="0024561E"/>
    <w:rsid w:val="00251BA2"/>
    <w:rsid w:val="002577CD"/>
    <w:rsid w:val="002645B7"/>
    <w:rsid w:val="002670B9"/>
    <w:rsid w:val="00291E3E"/>
    <w:rsid w:val="002A14D5"/>
    <w:rsid w:val="002C56A4"/>
    <w:rsid w:val="002C57C2"/>
    <w:rsid w:val="002E09D0"/>
    <w:rsid w:val="002E2B0A"/>
    <w:rsid w:val="002E3589"/>
    <w:rsid w:val="002E56D1"/>
    <w:rsid w:val="002E571B"/>
    <w:rsid w:val="002F08D5"/>
    <w:rsid w:val="003009F0"/>
    <w:rsid w:val="003060E2"/>
    <w:rsid w:val="00310570"/>
    <w:rsid w:val="00317BBB"/>
    <w:rsid w:val="00322A87"/>
    <w:rsid w:val="0032378A"/>
    <w:rsid w:val="003267FB"/>
    <w:rsid w:val="003312B8"/>
    <w:rsid w:val="0033362E"/>
    <w:rsid w:val="00336111"/>
    <w:rsid w:val="003503A2"/>
    <w:rsid w:val="003554C5"/>
    <w:rsid w:val="00365794"/>
    <w:rsid w:val="00373B22"/>
    <w:rsid w:val="00385CC2"/>
    <w:rsid w:val="00392BC1"/>
    <w:rsid w:val="003C4C71"/>
    <w:rsid w:val="003E4EDB"/>
    <w:rsid w:val="003E72FD"/>
    <w:rsid w:val="003F6025"/>
    <w:rsid w:val="00410551"/>
    <w:rsid w:val="00414B77"/>
    <w:rsid w:val="0042119B"/>
    <w:rsid w:val="00427002"/>
    <w:rsid w:val="00445881"/>
    <w:rsid w:val="00445FD7"/>
    <w:rsid w:val="00447A41"/>
    <w:rsid w:val="004822E6"/>
    <w:rsid w:val="00492FE3"/>
    <w:rsid w:val="004A78CC"/>
    <w:rsid w:val="004B5F88"/>
    <w:rsid w:val="004C7711"/>
    <w:rsid w:val="004D7F44"/>
    <w:rsid w:val="004F74E7"/>
    <w:rsid w:val="005105C4"/>
    <w:rsid w:val="0053623F"/>
    <w:rsid w:val="005422EE"/>
    <w:rsid w:val="005439EA"/>
    <w:rsid w:val="00550D78"/>
    <w:rsid w:val="00557369"/>
    <w:rsid w:val="0056149B"/>
    <w:rsid w:val="005706D1"/>
    <w:rsid w:val="005739A8"/>
    <w:rsid w:val="005751FC"/>
    <w:rsid w:val="00577A95"/>
    <w:rsid w:val="005852CF"/>
    <w:rsid w:val="00590F07"/>
    <w:rsid w:val="0059392E"/>
    <w:rsid w:val="005B160F"/>
    <w:rsid w:val="005B448F"/>
    <w:rsid w:val="005B551E"/>
    <w:rsid w:val="005C173B"/>
    <w:rsid w:val="005D2DA1"/>
    <w:rsid w:val="005D3BA0"/>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6E7E90"/>
    <w:rsid w:val="0071134B"/>
    <w:rsid w:val="00714DC4"/>
    <w:rsid w:val="00715376"/>
    <w:rsid w:val="00724311"/>
    <w:rsid w:val="00726D7F"/>
    <w:rsid w:val="007348C8"/>
    <w:rsid w:val="00742018"/>
    <w:rsid w:val="0074397B"/>
    <w:rsid w:val="007455FF"/>
    <w:rsid w:val="00755896"/>
    <w:rsid w:val="00756D7B"/>
    <w:rsid w:val="00765619"/>
    <w:rsid w:val="00765A21"/>
    <w:rsid w:val="00766625"/>
    <w:rsid w:val="007726CC"/>
    <w:rsid w:val="007736D4"/>
    <w:rsid w:val="0077536B"/>
    <w:rsid w:val="007815A6"/>
    <w:rsid w:val="00793FEA"/>
    <w:rsid w:val="0079518D"/>
    <w:rsid w:val="007A743B"/>
    <w:rsid w:val="007B18D6"/>
    <w:rsid w:val="007B3611"/>
    <w:rsid w:val="007B51DD"/>
    <w:rsid w:val="007B5B03"/>
    <w:rsid w:val="007C0CC9"/>
    <w:rsid w:val="007D1328"/>
    <w:rsid w:val="007F1723"/>
    <w:rsid w:val="007F1E6F"/>
    <w:rsid w:val="007F327D"/>
    <w:rsid w:val="007F3A44"/>
    <w:rsid w:val="007F5430"/>
    <w:rsid w:val="007F7B1E"/>
    <w:rsid w:val="0081063E"/>
    <w:rsid w:val="008202A0"/>
    <w:rsid w:val="00821711"/>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B5356"/>
    <w:rsid w:val="008B6CE2"/>
    <w:rsid w:val="008C0BF0"/>
    <w:rsid w:val="008D0528"/>
    <w:rsid w:val="008E5850"/>
    <w:rsid w:val="008F01AF"/>
    <w:rsid w:val="008F1461"/>
    <w:rsid w:val="008F33F5"/>
    <w:rsid w:val="00904CBE"/>
    <w:rsid w:val="00906CC5"/>
    <w:rsid w:val="00911645"/>
    <w:rsid w:val="0093097C"/>
    <w:rsid w:val="00930D01"/>
    <w:rsid w:val="00936085"/>
    <w:rsid w:val="009475B6"/>
    <w:rsid w:val="009578D4"/>
    <w:rsid w:val="00962265"/>
    <w:rsid w:val="0097235C"/>
    <w:rsid w:val="00977CEE"/>
    <w:rsid w:val="00982147"/>
    <w:rsid w:val="00983CB1"/>
    <w:rsid w:val="00984A65"/>
    <w:rsid w:val="009908DE"/>
    <w:rsid w:val="00995FD5"/>
    <w:rsid w:val="009A6C47"/>
    <w:rsid w:val="009B5E5E"/>
    <w:rsid w:val="009C47FE"/>
    <w:rsid w:val="009E2AC0"/>
    <w:rsid w:val="009E79C1"/>
    <w:rsid w:val="009F54CB"/>
    <w:rsid w:val="00A11D68"/>
    <w:rsid w:val="00A23019"/>
    <w:rsid w:val="00A26E9E"/>
    <w:rsid w:val="00A34523"/>
    <w:rsid w:val="00A36223"/>
    <w:rsid w:val="00A4334A"/>
    <w:rsid w:val="00A47543"/>
    <w:rsid w:val="00A76A2E"/>
    <w:rsid w:val="00A84CDB"/>
    <w:rsid w:val="00A906DD"/>
    <w:rsid w:val="00A95C52"/>
    <w:rsid w:val="00AA4ABF"/>
    <w:rsid w:val="00AB2A56"/>
    <w:rsid w:val="00AC2066"/>
    <w:rsid w:val="00AC5138"/>
    <w:rsid w:val="00AC5E12"/>
    <w:rsid w:val="00AD1E09"/>
    <w:rsid w:val="00AD72C4"/>
    <w:rsid w:val="00AD7B1E"/>
    <w:rsid w:val="00AE0444"/>
    <w:rsid w:val="00AE326C"/>
    <w:rsid w:val="00AE3929"/>
    <w:rsid w:val="00AE6001"/>
    <w:rsid w:val="00AF256E"/>
    <w:rsid w:val="00AF45B7"/>
    <w:rsid w:val="00B079EC"/>
    <w:rsid w:val="00B1318C"/>
    <w:rsid w:val="00B25183"/>
    <w:rsid w:val="00B34216"/>
    <w:rsid w:val="00B43C40"/>
    <w:rsid w:val="00B45F56"/>
    <w:rsid w:val="00B464F6"/>
    <w:rsid w:val="00B51077"/>
    <w:rsid w:val="00B71860"/>
    <w:rsid w:val="00B77CF0"/>
    <w:rsid w:val="00B80284"/>
    <w:rsid w:val="00B820CD"/>
    <w:rsid w:val="00B84E87"/>
    <w:rsid w:val="00B90216"/>
    <w:rsid w:val="00B91352"/>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5093E"/>
    <w:rsid w:val="00C60480"/>
    <w:rsid w:val="00C64425"/>
    <w:rsid w:val="00C722B5"/>
    <w:rsid w:val="00C809BA"/>
    <w:rsid w:val="00C857E7"/>
    <w:rsid w:val="00C928C7"/>
    <w:rsid w:val="00C9305E"/>
    <w:rsid w:val="00C93664"/>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01E95"/>
    <w:rsid w:val="00E11252"/>
    <w:rsid w:val="00E13C47"/>
    <w:rsid w:val="00E14DF7"/>
    <w:rsid w:val="00E34E82"/>
    <w:rsid w:val="00E5185D"/>
    <w:rsid w:val="00E5463A"/>
    <w:rsid w:val="00E676F4"/>
    <w:rsid w:val="00E75AC8"/>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74934"/>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 w:type="paragraph" w:customStyle="1" w:styleId="Default">
    <w:name w:val="Default"/>
    <w:rsid w:val="00225AB8"/>
    <w:pPr>
      <w:autoSpaceDE w:val="0"/>
      <w:autoSpaceDN w:val="0"/>
      <w:adjustRightInd w:val="0"/>
    </w:pPr>
    <w:rPr>
      <w:rFonts w:ascii="Times New Roman" w:eastAsiaTheme="minorHAnsi" w:hAnsi="Times New Roman"/>
      <w:color w:val="000000"/>
      <w:sz w:val="24"/>
      <w:szCs w:val="24"/>
      <w:lang w:eastAsia="en-US"/>
    </w:rPr>
  </w:style>
  <w:style w:type="character" w:styleId="Mencinsinresolver">
    <w:name w:val="Unresolved Mention"/>
    <w:basedOn w:val="Fuentedeprrafopredeter"/>
    <w:uiPriority w:val="99"/>
    <w:semiHidden/>
    <w:unhideWhenUsed/>
    <w:rsid w:val="0081063E"/>
    <w:rPr>
      <w:color w:val="605E5C"/>
      <w:shd w:val="clear" w:color="auto" w:fill="E1DFDD"/>
    </w:rPr>
  </w:style>
  <w:style w:type="table" w:customStyle="1" w:styleId="TableGrid">
    <w:name w:val="TableGrid"/>
    <w:rsid w:val="00AB2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B2A56"/>
    <w:pPr>
      <w:spacing w:line="253" w:lineRule="auto"/>
      <w:ind w:left="142" w:right="28"/>
    </w:pPr>
    <w:rPr>
      <w:rFonts w:ascii="Times New Roman" w:eastAsia="Times New Roman" w:hAnsi="Times New Roman"/>
      <w:color w:val="000000"/>
      <w:szCs w:val="22"/>
      <w:lang w:val="es-ES" w:eastAsia="es-ES"/>
    </w:rPr>
  </w:style>
  <w:style w:type="character" w:customStyle="1" w:styleId="footnotedescriptionChar">
    <w:name w:val="footnote description Char"/>
    <w:link w:val="footnotedescription"/>
    <w:rsid w:val="00AB2A56"/>
    <w:rPr>
      <w:rFonts w:ascii="Times New Roman" w:eastAsia="Times New Roman" w:hAnsi="Times New Roman"/>
      <w:color w:val="000000"/>
      <w:szCs w:val="22"/>
      <w:lang w:val="es-ES" w:eastAsia="es-ES"/>
    </w:rPr>
  </w:style>
  <w:style w:type="character" w:customStyle="1" w:styleId="footnotemark">
    <w:name w:val="footnote mark"/>
    <w:hidden/>
    <w:rsid w:val="00AB2A56"/>
    <w:rPr>
      <w:rFonts w:ascii="Times New Roman" w:eastAsia="Times New Roman" w:hAnsi="Times New Roman" w:cs="Times New Roman"/>
      <w:color w:val="000000"/>
      <w:sz w:val="20"/>
      <w:vertAlign w:val="superscript"/>
    </w:rPr>
  </w:style>
  <w:style w:type="paragraph" w:styleId="Textonotapie">
    <w:name w:val="footnote text"/>
    <w:basedOn w:val="Normal"/>
    <w:link w:val="TextonotapieCar"/>
    <w:uiPriority w:val="99"/>
    <w:semiHidden/>
    <w:unhideWhenUsed/>
    <w:locked/>
    <w:rsid w:val="00AB2A56"/>
    <w:pPr>
      <w:spacing w:line="240" w:lineRule="auto"/>
      <w:ind w:left="127" w:right="6" w:firstLine="7"/>
    </w:pPr>
    <w:rPr>
      <w:rFonts w:ascii="Times New Roman" w:hAnsi="Times New Roman"/>
      <w:color w:val="000000"/>
      <w:sz w:val="20"/>
      <w:szCs w:val="20"/>
      <w:lang w:eastAsia="es-ES"/>
    </w:rPr>
  </w:style>
  <w:style w:type="character" w:customStyle="1" w:styleId="TextonotapieCar">
    <w:name w:val="Texto nota pie Car"/>
    <w:basedOn w:val="Fuentedeprrafopredeter"/>
    <w:link w:val="Textonotapie"/>
    <w:uiPriority w:val="99"/>
    <w:semiHidden/>
    <w:rsid w:val="00AB2A56"/>
    <w:rPr>
      <w:rFonts w:ascii="Times New Roman" w:eastAsia="Times New Roman" w:hAnsi="Times New Roman"/>
      <w:color w:val="000000"/>
      <w:lang w:val="es-ES" w:eastAsia="es-ES"/>
    </w:rPr>
  </w:style>
  <w:style w:type="character" w:styleId="Refdenotaalpie">
    <w:name w:val="footnote reference"/>
    <w:basedOn w:val="Fuentedeprrafopredeter"/>
    <w:uiPriority w:val="99"/>
    <w:semiHidden/>
    <w:unhideWhenUsed/>
    <w:locked/>
    <w:rsid w:val="00AB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458883572">
      <w:bodyDiv w:val="1"/>
      <w:marLeft w:val="0"/>
      <w:marRight w:val="0"/>
      <w:marTop w:val="0"/>
      <w:marBottom w:val="0"/>
      <w:divBdr>
        <w:top w:val="none" w:sz="0" w:space="0" w:color="auto"/>
        <w:left w:val="none" w:sz="0" w:space="0" w:color="auto"/>
        <w:bottom w:val="none" w:sz="0" w:space="0" w:color="auto"/>
        <w:right w:val="none" w:sz="0" w:space="0" w:color="auto"/>
      </w:divBdr>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normativaenconsulta@sugef.fi.c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sugef.fi.cr/normativa/normativa_en_consulta.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E99k0PdeBxWen34QclTAiGI+YG6E4Djpq4jvbQ6j/no=</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fZLFIoTB3rOUezwt+SLsr19k6DA4Y4HQHhEscpmcjqQ=</DigestValue>
    </Reference>
  </SignedInfo>
  <SignatureValue>D/AcArWTtS43AF6Tx5dH2lytaIFC1f6YnjKBUmE7fV4WpKFMYXK2o3XD9/XrMUcmBCbbtrfNk+zr
CII+8CqVEzxIhaWqHf3eXyOfBv1vCt1DLh0wsWXk/5WqQvmBdhGQ8gPAwxruiPhz3T80bZs/pBte
JOOZcmGYNejr7ZwAi44SWh/9QL2v7NJ7aKi8+YXL1Dv0XiaLwSbnPB7Zu3T55WskEzmHAU8FAwON
FOKoFu4gAfCKeveoDG5gu8gI6y5IVFAxu0LuyFoxrLlJhcOXz9UmekFKOG1UPiu/56vjzg37abQl
OwMrQsl1YmXbk8cfCSKSzUI9PIK9wRoKYzMTWw==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MBJDES+22yrAQBiUfYSzG1ZGHlvJWde2tjuA3rMUAM4=</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Js3M88bTyNOHYvLh6pzhRTzzaOGqaExKObXiqWr0Pac=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J8MjbpQJZLRp95K0tn6eNGfBxAbUOBtGZU5OxtNbr0Y=</DigestValue>
      </Reference>
      <Reference URI="/word/endnotes.xml?ContentType=application/vnd.openxmlformats-officedocument.wordprocessingml.endnotes+xml">
        <DigestMethod Algorithm="http://www.w3.org/2001/04/xmlenc#sha256"/>
        <DigestValue>jZ9AEV9n9fH+UJ6IlFmOXtaxmhZcVPorTW5nezAsFEs=</DigestValue>
      </Reference>
      <Reference URI="/word/fontTable.xml?ContentType=application/vnd.openxmlformats-officedocument.wordprocessingml.fontTable+xml">
        <DigestMethod Algorithm="http://www.w3.org/2001/04/xmlenc#sha256"/>
        <DigestValue>rf3ONS12jXIL5fc2SRV8MTcQoTwQP9QfwXPhwLH72ps=</DigestValue>
      </Reference>
      <Reference URI="/word/footer1.xml?ContentType=application/vnd.openxmlformats-officedocument.wordprocessingml.footer+xml">
        <DigestMethod Algorithm="http://www.w3.org/2001/04/xmlenc#sha256"/>
        <DigestValue>3/nYLridAGA5udhOLkwbdBdyaHG4c7Zb+My86C1V0lY=</DigestValue>
      </Reference>
      <Reference URI="/word/footer2.xml?ContentType=application/vnd.openxmlformats-officedocument.wordprocessingml.footer+xml">
        <DigestMethod Algorithm="http://www.w3.org/2001/04/xmlenc#sha256"/>
        <DigestValue>KUCDS1BKHJp1zQHoKVcKw4n/bQhIaaRa8VFo9Sn8C9Y=</DigestValue>
      </Reference>
      <Reference URI="/word/footer3.xml?ContentType=application/vnd.openxmlformats-officedocument.wordprocessingml.footer+xml">
        <DigestMethod Algorithm="http://www.w3.org/2001/04/xmlenc#sha256"/>
        <DigestValue>9otTiA4rYnTRFqNSf7qQ8WWE4iINy/yrXP/gAbziMhk=</DigestValue>
      </Reference>
      <Reference URI="/word/footnotes.xml?ContentType=application/vnd.openxmlformats-officedocument.wordprocessingml.footnotes+xml">
        <DigestMethod Algorithm="http://www.w3.org/2001/04/xmlenc#sha256"/>
        <DigestValue>GlzL35wS3cpZao+aWaDTXjZI7Nqk8JUKVanU4HMrtDU=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MN/6EmJz6u9IAWCP0U0pQHhZxR4TSpr570HPuzVITUk=</DigestValue>
      </Reference>
      <Reference URI="/word/glossary/fontTable.xml?ContentType=application/vnd.openxmlformats-officedocument.wordprocessingml.fontTable+xml">
        <DigestMethod Algorithm="http://www.w3.org/2001/04/xmlenc#sha256"/>
        <DigestValue>BFNiRosehAVHRllMfkIIQkZ++7nhheUBnY9o2mv7M3U=</DigestValue>
      </Reference>
      <Reference URI="/word/glossary/settings.xml?ContentType=application/vnd.openxmlformats-officedocument.wordprocessingml.settings+xml">
        <DigestMethod Algorithm="http://www.w3.org/2001/04/xmlenc#sha256"/>
        <DigestValue>U/m/26sydgOg/I+S03YwXyr4hdL/KwuPdZ2zMNGC7DQ=</DigestValue>
      </Reference>
      <Reference URI="/word/glossary/styles.xml?ContentType=application/vnd.openxmlformats-officedocument.wordprocessingml.styles+xml">
        <DigestMethod Algorithm="http://www.w3.org/2001/04/xmlenc#sha256"/>
        <DigestValue>1qxskvlDliv8nWP/zZuKuJ2SdTBjQ/IolxUyNpVjUkk=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Yt02F1NVCdEnQazBnULd3+gVpBadU5LTNPrhsTX4t7s=</DigestValue>
      </Reference>
      <Reference URI="/word/header2.xml?ContentType=application/vnd.openxmlformats-officedocument.wordprocessingml.header+xml">
        <DigestMethod Algorithm="http://www.w3.org/2001/04/xmlenc#sha256"/>
        <DigestValue>ahCd626Jn3F/ke4Y91LdUCmm8+WuY79XI24p60Y6Qpk=</DigestValue>
      </Reference>
      <Reference URI="/word/header3.xml?ContentType=application/vnd.openxmlformats-officedocument.wordprocessingml.header+xml">
        <DigestMethod Algorithm="http://www.w3.org/2001/04/xmlenc#sha256"/>
        <DigestValue>RNo/iyIr0vV5JKaEDTwpiaWH3yNYeb+IasnRfhJy3Uc=</DigestValue>
      </Reference>
      <Reference URI="/word/media/image1.png?ContentType=image/png">
        <DigestMethod Algorithm="http://www.w3.org/2001/04/xmlenc#sha256"/>
        <DigestValue>zyQDwOyNNyc+D1MKiLifcZjiTxvxCFM8eNyElttWFnw=</DigestValue>
      </Reference>
      <Reference URI="/word/media/image2.png?ContentType=image/png">
        <DigestMethod Algorithm="http://www.w3.org/2001/04/xmlenc#sha256"/>
        <DigestValue>CH7hd/6LcWWvjD1H8HztaDxyptiSaC/8WBSc19WzOhk=</DigestValue>
      </Reference>
      <Reference URI="/word/media/image3.emf?ContentType=image/x-emf">
        <DigestMethod Algorithm="http://www.w3.org/2001/04/xmlenc#sha256"/>
        <DigestValue>VEY1rZWrQ3EKJSKd7G+QXjR/G0ivlNeFUDBuQ9swlyA=</DigestValue>
      </Reference>
      <Reference URI="/word/media/image4.png?ContentType=image/png">
        <DigestMethod Algorithm="http://www.w3.org/2001/04/xmlenc#sha256"/>
        <DigestValue>mkdJBxKZmcb8esy0k1n9E32Gr+YW70guTnhzZ/HkenM=</DigestValue>
      </Reference>
      <Reference URI="/word/media/image5.png?ContentType=image/png">
        <DigestMethod Algorithm="http://www.w3.org/2001/04/xmlenc#sha256"/>
        <DigestValue>a4ozAQSMkCDBMq21+5Z1otzbYohzK15CXsQ14z2+I4E=</DigestValue>
      </Reference>
      <Reference URI="/word/media/image6.jpeg?ContentType=image/jpeg">
        <DigestMethod Algorithm="http://www.w3.org/2001/04/xmlenc#sha256"/>
        <DigestValue>zN5VKDa5XMdgPJ6I4/Etb0KUY/2VpqVkpzhmlLjozAY=</DigestValue>
      </Reference>
      <Reference URI="/word/media/image7.png?ContentType=image/png">
        <DigestMethod Algorithm="http://www.w3.org/2001/04/xmlenc#sha256"/>
        <DigestValue>qpOpLv7+AIBBXGXobYzZUmN/7IR83yO/J/JVrvtB94I=</DigestValue>
      </Reference>
      <Reference URI="/word/media/image8.png?ContentType=image/png">
        <DigestMethod Algorithm="http://www.w3.org/2001/04/xmlenc#sha256"/>
        <DigestValue>vGEioF61iBkLUIFyzTOyjq1R/XwtuEdlhHNL4gwrSnc=</DigestValue>
      </Reference>
      <Reference URI="/word/media/image9.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4eBhILRUyXyDo3OJVtk4FvI5UoWErYUZtbjaY7DhfnE=</DigestValue>
      </Reference>
      <Reference URI="/word/settings.xml?ContentType=application/vnd.openxmlformats-officedocument.wordprocessingml.settings+xml">
        <DigestMethod Algorithm="http://www.w3.org/2001/04/xmlenc#sha256"/>
        <DigestValue>6u/gHBJw7uJ3Wm5XQDl4JD2OSWziDbU2+OczV4IkCM0=</DigestValue>
      </Reference>
      <Reference URI="/word/styles.xml?ContentType=application/vnd.openxmlformats-officedocument.wordprocessingml.styles+xml">
        <DigestMethod Algorithm="http://www.w3.org/2001/04/xmlenc#sha256"/>
        <DigestValue>4qIFP6rNb5xwc3z3ddD/gsu8mSLu1thOxeFjcbEXuVw=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QV0BDO9Ic2R1+ycAHUCLYiZnU921HodhUMY7XeOquqM=</DigestValue>
      </Reference>
    </Manifest>
    <SignatureProperties>
      <SignatureProperty Id="idSignatureTime" Target="#idPackageSignature">
        <mdssi:SignatureTime xmlns:mdssi="http://schemas.openxmlformats.org/package/2006/digital-signature">
          <mdssi:Format>YYYY-MM-DDThh:mm:ssTZD</mdssi:Format>
          <mdssi:Value>2021-08-20T00:27:51Z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2021-08-20T00:27:51Z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cAsHCJDQLCV6O/jv6RqSgwC4xa1Nyk92L4nJd4jryACBAx+ZGMYDzIwMjEwODIwMDAyNz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5frWf2OwbV5Hmy7lHbUEaEhCOG4=</xd:ByKey>
                  </xd:ResponderID>
                  <xd:ProducedAt>2021-08-20T00:26:46Z</xd:ProducedAt>
                </xd:OCSPIdentifier>
                <xd:DigestAlgAndValue>
                  <DigestMethod Algorithm="http://www.w3.org/2001/04/xmlenc#sha256"/>
                  <DigestValue>ogCFQRf8YKXqz4C/hBXb6Cr/t4lNGfJdl43SqxJ2ZZw=</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1GU5Uq2JGquhoAplbsPtRnvpS6xyQWaOjXwvIzrAHRoCBAx+ZGQYDzIwMjEwODIwMDAyNz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p:properties xmlns:p="http://schemas.microsoft.com/office/2006/metadata/properties" xmlns:xsi="http://www.w3.org/2001/XMLSchema-instance">
  <documentManagement>
    <TaxCatchAll xmlns="b875e23b-67d9-4b2e-bdec-edacbf90b326">
      <Value>63</Value>
      <Value>426</Value>
      <Value>3</Value>
      <Value>2</Value>
      <Value>1</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Segundo envío en consulta Lineamientos  Reglamento sobre cálculo de estimaciones crediticias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Segundo envío en consulta Lineamientos  Reglamento sobre cálculo de estimaciones crediticias</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A7E38274-656A-4236-A2C8-75F575EE0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E1A44-ECE1-453D-B798-8E02BF8066E1}">
  <ds:schemaRefs>
    <ds:schemaRef ds:uri="http://schemas.openxmlformats.org/officeDocument/2006/bibliography"/>
  </ds:schemaRefs>
</ds:datastoreItem>
</file>

<file path=customXml/itemProps3.xml><?xml version="1.0" encoding="utf-8"?>
<ds:datastoreItem xmlns:ds="http://schemas.openxmlformats.org/officeDocument/2006/customXml" ds:itemID="{CCEF34DE-28CB-434D-9625-CCEE809BF278}">
  <ds:schemaRefs>
    <ds:schemaRef ds:uri="office.server.policy"/>
  </ds:schemaRefs>
</ds:datastoreItem>
</file>

<file path=customXml/itemProps4.xml><?xml version="1.0" encoding="utf-8"?>
<ds:datastoreItem xmlns:ds="http://schemas.openxmlformats.org/officeDocument/2006/customXml" ds:itemID="{283BF82E-1A70-4392-8CF2-7DEAFF1953AE}">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b875e23b-67d9-4b2e-bdec-edacbf90b326"/>
    <ds:schemaRef ds:uri="http://schemas.microsoft.com/office/infopath/2007/PartnerControls"/>
    <ds:schemaRef ds:uri="http://schemas.microsoft.com/sharepoint/v3"/>
    <ds:schemaRef ds:uri="http://purl.org/dc/terms/"/>
  </ds:schemaRefs>
</ds:datastoreItem>
</file>

<file path=customXml/itemProps5.xml><?xml version="1.0" encoding="utf-8"?>
<ds:datastoreItem xmlns:ds="http://schemas.openxmlformats.org/officeDocument/2006/customXml" ds:itemID="{37FE54B7-6198-4885-B5B4-27440BB91354}">
  <ds:schemaRefs>
    <ds:schemaRef ds:uri="http://schemas.microsoft.com/sharepoint/events"/>
  </ds:schemaRefs>
</ds:datastoreItem>
</file>

<file path=customXml/itemProps6.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7.xml><?xml version="1.0" encoding="utf-8"?>
<ds:datastoreItem xmlns:ds="http://schemas.openxmlformats.org/officeDocument/2006/customXml" ds:itemID="{0C6BF95A-420E-4057-8286-CA8F55C1A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plantilla-SGF-13-Normas.dotm</Template>
  <TotalTime>69</TotalTime>
  <Pages>11</Pages>
  <Words>2778</Words>
  <Characters>15282</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GABRIELA</cp:lastModifiedBy>
  <cp:revision>8</cp:revision>
  <cp:lastPrinted>2015-07-30T22:36:00Z</cp:lastPrinted>
  <dcterms:created xsi:type="dcterms:W3CDTF">2021-08-14T17:37:00Z</dcterms:created>
  <dcterms:modified xsi:type="dcterms:W3CDTF">2021-08-19T17:10:00Z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3" name="Order">
    <vt:r8>80800</vt:r8>
  </property>
  <property fmtid="{D5CDD505-2E9C-101B-9397-08002B2CF9AE}" pid="14" name="lb0b7da792b243d9bfa96ad7487ad734">
    <vt:lpwstr>Público|99c2402f-8ec3-4ca8-8024-be52e4e7f629</vt:lpwstr>
  </property>
  <property fmtid="{D5CDD505-2E9C-101B-9397-08002B2CF9AE}" pid="15" name="WorkflowChangePath">
    <vt:lpwstr>58129e4d-2a7c-4442-ab86-f4288b01d5ff,6;7dedacbb-5c77-4a35-8847-40abd1245d4d,8;</vt:lpwstr>
  </property>
</Properties>
</file>